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B9D" w:rsidRDefault="005F1B9D" w:rsidP="00FC54B3">
      <w:pPr>
        <w:pStyle w:val="a3"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bookmarkStart w:id="0" w:name="_Hlk126841467"/>
    </w:p>
    <w:p w:rsidR="005F1B9D" w:rsidRDefault="005F1B9D" w:rsidP="00FC54B3">
      <w:pPr>
        <w:pStyle w:val="a3"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5F1B9D" w:rsidRDefault="005F1B9D" w:rsidP="00FC54B3">
      <w:pPr>
        <w:pStyle w:val="a3"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5F1B9D" w:rsidRDefault="005F1B9D" w:rsidP="00FC54B3">
      <w:pPr>
        <w:pStyle w:val="a3"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5F1B9D" w:rsidRPr="00C63C47" w:rsidRDefault="005F1B9D" w:rsidP="00FC54B3">
      <w:pPr>
        <w:pStyle w:val="a3"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C63C47">
        <w:rPr>
          <w:rFonts w:ascii="Times New Roman" w:hAnsi="Times New Roman" w:cs="Times New Roman"/>
          <w:b/>
          <w:bCs/>
          <w:sz w:val="72"/>
          <w:szCs w:val="72"/>
        </w:rPr>
        <w:t xml:space="preserve">Информация </w:t>
      </w:r>
    </w:p>
    <w:p w:rsidR="005F1B9D" w:rsidRPr="00C63C47" w:rsidRDefault="005F1B9D" w:rsidP="00FC54B3">
      <w:pPr>
        <w:pStyle w:val="a3"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C63C47">
        <w:rPr>
          <w:rFonts w:ascii="Times New Roman" w:hAnsi="Times New Roman" w:cs="Times New Roman"/>
          <w:b/>
          <w:bCs/>
          <w:sz w:val="64"/>
          <w:szCs w:val="64"/>
        </w:rPr>
        <w:t>о социально-экономическом развитии</w:t>
      </w:r>
    </w:p>
    <w:p w:rsidR="005F1B9D" w:rsidRPr="00C63C47" w:rsidRDefault="005F1B9D" w:rsidP="00FC54B3">
      <w:pPr>
        <w:pStyle w:val="a3"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C63C47">
        <w:rPr>
          <w:rFonts w:ascii="Times New Roman" w:hAnsi="Times New Roman" w:cs="Times New Roman"/>
          <w:b/>
          <w:bCs/>
          <w:sz w:val="64"/>
          <w:szCs w:val="64"/>
        </w:rPr>
        <w:t xml:space="preserve"> города Прокопьевска </w:t>
      </w:r>
    </w:p>
    <w:p w:rsidR="005F1B9D" w:rsidRPr="00C63C47" w:rsidRDefault="005F1B9D" w:rsidP="00FC54B3">
      <w:pPr>
        <w:pStyle w:val="a3"/>
        <w:suppressAutoHyphens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64"/>
          <w:szCs w:val="64"/>
        </w:rPr>
      </w:pPr>
      <w:r w:rsidRPr="00C63C47">
        <w:rPr>
          <w:rFonts w:ascii="Times New Roman" w:hAnsi="Times New Roman" w:cs="Times New Roman"/>
          <w:b/>
          <w:bCs/>
          <w:sz w:val="64"/>
          <w:szCs w:val="64"/>
        </w:rPr>
        <w:t>за 20</w:t>
      </w:r>
      <w:r w:rsidRPr="00C63C47">
        <w:rPr>
          <w:rFonts w:ascii="Times New Roman" w:hAnsi="Times New Roman" w:cs="Times New Roman"/>
          <w:b/>
          <w:bCs/>
          <w:sz w:val="64"/>
          <w:szCs w:val="64"/>
          <w:lang w:val="en-US"/>
        </w:rPr>
        <w:t>2</w:t>
      </w:r>
      <w:r>
        <w:rPr>
          <w:rFonts w:ascii="Times New Roman" w:hAnsi="Times New Roman" w:cs="Times New Roman"/>
          <w:b/>
          <w:bCs/>
          <w:sz w:val="64"/>
          <w:szCs w:val="64"/>
        </w:rPr>
        <w:t>4</w:t>
      </w:r>
      <w:r w:rsidR="00EA67BE">
        <w:rPr>
          <w:rFonts w:ascii="Times New Roman" w:hAnsi="Times New Roman" w:cs="Times New Roman"/>
          <w:b/>
          <w:bCs/>
          <w:sz w:val="64"/>
          <w:szCs w:val="64"/>
        </w:rPr>
        <w:t xml:space="preserve"> </w:t>
      </w:r>
      <w:r w:rsidRPr="00C63C47">
        <w:rPr>
          <w:rFonts w:ascii="Times New Roman" w:hAnsi="Times New Roman" w:cs="Times New Roman"/>
          <w:b/>
          <w:bCs/>
          <w:sz w:val="64"/>
          <w:szCs w:val="64"/>
        </w:rPr>
        <w:t>год</w:t>
      </w:r>
      <w:bookmarkEnd w:id="0"/>
    </w:p>
    <w:p w:rsidR="005B6490" w:rsidRDefault="005B6490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A51ECC" w:rsidRDefault="00A51ECC" w:rsidP="00FC54B3">
      <w:pPr>
        <w:widowControl w:val="0"/>
      </w:pPr>
    </w:p>
    <w:p w:rsidR="00A51ECC" w:rsidRDefault="00A51ECC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Pr="0048772E" w:rsidRDefault="005F1B9D" w:rsidP="00FC54B3">
      <w:pPr>
        <w:pStyle w:val="a5"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772E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tbl>
      <w:tblPr>
        <w:tblW w:w="9673" w:type="dxa"/>
        <w:tblInd w:w="25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9"/>
        <w:gridCol w:w="1134"/>
      </w:tblGrid>
      <w:tr w:rsidR="005F1B9D" w:rsidRPr="00EA69C4" w:rsidTr="0048772E">
        <w:trPr>
          <w:trHeight w:val="673"/>
        </w:trPr>
        <w:tc>
          <w:tcPr>
            <w:tcW w:w="8539" w:type="dxa"/>
            <w:tcBorders>
              <w:top w:val="nil"/>
            </w:tcBorders>
            <w:shd w:val="clear" w:color="auto" w:fill="auto"/>
            <w:vAlign w:val="center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Общая оценка социально-экономической ситуации города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1B9D" w:rsidRPr="00EC3B87" w:rsidTr="0048772E">
        <w:trPr>
          <w:trHeight w:val="533"/>
        </w:trPr>
        <w:tc>
          <w:tcPr>
            <w:tcW w:w="8539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Промышленность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1B9D" w:rsidRPr="0048772E" w:rsidRDefault="00687BB6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1B9D" w:rsidRPr="00EC3B87" w:rsidTr="0048772E">
        <w:trPr>
          <w:trHeight w:val="539"/>
        </w:trPr>
        <w:tc>
          <w:tcPr>
            <w:tcW w:w="8539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Инвестиции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1B9D" w:rsidRPr="0048772E" w:rsidRDefault="002F07BE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1B9D" w:rsidRPr="00EC3B87" w:rsidTr="0048772E">
        <w:trPr>
          <w:trHeight w:val="539"/>
        </w:trPr>
        <w:tc>
          <w:tcPr>
            <w:tcW w:w="8539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Малый бизнес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1B9D" w:rsidRPr="0048772E" w:rsidRDefault="00975435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1" w:name="_GoBack"/>
            <w:bookmarkEnd w:id="1"/>
          </w:p>
        </w:tc>
      </w:tr>
      <w:tr w:rsidR="005F1B9D" w:rsidRPr="00EC3B87" w:rsidTr="0048772E">
        <w:trPr>
          <w:trHeight w:val="539"/>
        </w:trPr>
        <w:tc>
          <w:tcPr>
            <w:tcW w:w="8539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Демография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1E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1B9D" w:rsidRPr="00EC3B87" w:rsidTr="0048772E">
        <w:trPr>
          <w:trHeight w:val="534"/>
        </w:trPr>
        <w:tc>
          <w:tcPr>
            <w:tcW w:w="8539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Рынок труда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1E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1B9D" w:rsidRPr="00EC3B87" w:rsidTr="0048772E">
        <w:trPr>
          <w:trHeight w:val="515"/>
        </w:trPr>
        <w:tc>
          <w:tcPr>
            <w:tcW w:w="8539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Исполнение бюджета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1E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F1B9D" w:rsidRPr="00EC3B87" w:rsidTr="0048772E">
        <w:trPr>
          <w:trHeight w:val="533"/>
        </w:trPr>
        <w:tc>
          <w:tcPr>
            <w:tcW w:w="8539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Финансовое состояние организаций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1B9D" w:rsidRPr="0048772E" w:rsidRDefault="00A316D8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E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F1B9D" w:rsidRPr="00EC3B87" w:rsidTr="0048772E">
        <w:trPr>
          <w:trHeight w:val="533"/>
        </w:trPr>
        <w:tc>
          <w:tcPr>
            <w:tcW w:w="8539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1B9D" w:rsidRPr="0048772E" w:rsidRDefault="00A316D8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E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1B9D" w:rsidRPr="00EC3B87" w:rsidTr="0048772E">
        <w:trPr>
          <w:trHeight w:val="533"/>
        </w:trPr>
        <w:tc>
          <w:tcPr>
            <w:tcW w:w="8539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E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1B9D" w:rsidRPr="00EC3B87" w:rsidTr="0048772E">
        <w:trPr>
          <w:trHeight w:val="533"/>
        </w:trPr>
        <w:tc>
          <w:tcPr>
            <w:tcW w:w="853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E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F1B9D" w:rsidRPr="00EC3B87" w:rsidTr="0048772E">
        <w:trPr>
          <w:trHeight w:val="533"/>
        </w:trPr>
        <w:tc>
          <w:tcPr>
            <w:tcW w:w="853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bottom"/>
          </w:tcPr>
          <w:p w:rsidR="005F1B9D" w:rsidRPr="0048772E" w:rsidRDefault="00A51ECC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F1B9D" w:rsidRPr="00EC3B87" w:rsidTr="0048772E">
        <w:trPr>
          <w:trHeight w:val="533"/>
        </w:trPr>
        <w:tc>
          <w:tcPr>
            <w:tcW w:w="853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bottom"/>
          </w:tcPr>
          <w:p w:rsidR="005F1B9D" w:rsidRPr="0048772E" w:rsidRDefault="00625C06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51E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F1B9D" w:rsidRPr="00EC3B87" w:rsidTr="0048772E">
        <w:trPr>
          <w:trHeight w:val="533"/>
        </w:trPr>
        <w:tc>
          <w:tcPr>
            <w:tcW w:w="8539" w:type="dxa"/>
            <w:tcBorders>
              <w:left w:val="nil"/>
              <w:right w:val="nil"/>
            </w:tcBorders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  <w:tcBorders>
              <w:left w:val="nil"/>
            </w:tcBorders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4B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1B9D" w:rsidRPr="00EC3B87" w:rsidTr="0048772E">
        <w:trPr>
          <w:trHeight w:val="533"/>
        </w:trPr>
        <w:tc>
          <w:tcPr>
            <w:tcW w:w="8539" w:type="dxa"/>
            <w:tcBorders>
              <w:left w:val="nil"/>
              <w:right w:val="nil"/>
            </w:tcBorders>
            <w:vAlign w:val="bottom"/>
          </w:tcPr>
          <w:p w:rsidR="005F1B9D" w:rsidRPr="0048772E" w:rsidRDefault="005F1B9D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  <w:vAlign w:val="bottom"/>
          </w:tcPr>
          <w:p w:rsidR="005F1B9D" w:rsidRPr="0048772E" w:rsidRDefault="001C4B68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4B6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91727" w:rsidRPr="00EC3B87" w:rsidTr="0048772E">
        <w:trPr>
          <w:trHeight w:val="407"/>
        </w:trPr>
        <w:tc>
          <w:tcPr>
            <w:tcW w:w="8539" w:type="dxa"/>
            <w:tcBorders>
              <w:left w:val="nil"/>
              <w:right w:val="nil"/>
            </w:tcBorders>
            <w:vAlign w:val="bottom"/>
          </w:tcPr>
          <w:p w:rsidR="00C91727" w:rsidRPr="0048772E" w:rsidRDefault="00373857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Текущие проблемы социально-экономического развития муниципального образования «</w:t>
            </w:r>
            <w:proofErr w:type="spellStart"/>
            <w:r w:rsidR="00A51E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рокопьевский</w:t>
            </w:r>
            <w:proofErr w:type="spellEnd"/>
            <w:r w:rsidRPr="0048772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округ»</w:t>
            </w:r>
          </w:p>
        </w:tc>
        <w:tc>
          <w:tcPr>
            <w:tcW w:w="1134" w:type="dxa"/>
            <w:tcBorders>
              <w:left w:val="nil"/>
            </w:tcBorders>
            <w:vAlign w:val="bottom"/>
          </w:tcPr>
          <w:p w:rsidR="00C91727" w:rsidRPr="0048772E" w:rsidRDefault="00373857" w:rsidP="00FC54B3">
            <w:pPr>
              <w:pStyle w:val="a5"/>
              <w:tabs>
                <w:tab w:val="clear" w:pos="4677"/>
                <w:tab w:val="clear" w:pos="9355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7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4B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5F1B9D" w:rsidRDefault="005F1B9D" w:rsidP="00FC54B3">
      <w:pPr>
        <w:widowControl w:val="0"/>
      </w:pPr>
    </w:p>
    <w:p w:rsidR="006576D5" w:rsidRDefault="006576D5" w:rsidP="00FC54B3">
      <w:pPr>
        <w:widowControl w:val="0"/>
      </w:pPr>
    </w:p>
    <w:p w:rsidR="005F1B9D" w:rsidRDefault="005F1B9D" w:rsidP="00FC54B3">
      <w:pPr>
        <w:widowControl w:val="0"/>
      </w:pPr>
    </w:p>
    <w:p w:rsidR="00FC54B3" w:rsidRDefault="00FC54B3" w:rsidP="00FC54B3">
      <w:pPr>
        <w:widowControl w:val="0"/>
      </w:pPr>
    </w:p>
    <w:p w:rsidR="00EE56E9" w:rsidRDefault="00EE56E9" w:rsidP="00FC54B3">
      <w:pPr>
        <w:widowControl w:val="0"/>
      </w:pPr>
    </w:p>
    <w:p w:rsidR="00FC54B3" w:rsidRDefault="00FC54B3" w:rsidP="00FC54B3">
      <w:pPr>
        <w:widowControl w:val="0"/>
      </w:pPr>
    </w:p>
    <w:p w:rsidR="00A51ECC" w:rsidRDefault="00A51ECC" w:rsidP="00FC54B3">
      <w:pPr>
        <w:pStyle w:val="a5"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F1B9D" w:rsidRPr="00A9567B" w:rsidRDefault="005F1B9D" w:rsidP="00FC54B3">
      <w:pPr>
        <w:pStyle w:val="a5"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67B">
        <w:rPr>
          <w:rFonts w:ascii="Times New Roman" w:hAnsi="Times New Roman" w:cs="Times New Roman"/>
          <w:b/>
          <w:bCs/>
          <w:sz w:val="28"/>
          <w:szCs w:val="28"/>
        </w:rPr>
        <w:t>ОБЩАЯ ОЦЕНКА</w:t>
      </w:r>
    </w:p>
    <w:p w:rsidR="005F1B9D" w:rsidRPr="00A9567B" w:rsidRDefault="005F1B9D" w:rsidP="00FC54B3">
      <w:pPr>
        <w:pStyle w:val="a5"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67B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СОЦИАЛЬНО-ЭКОНОМИЧЕСКОЙ СИТУАЦИИ ГОРОДА</w:t>
      </w:r>
    </w:p>
    <w:p w:rsidR="005F1B9D" w:rsidRPr="00A9567B" w:rsidRDefault="005F1B9D" w:rsidP="00FC54B3">
      <w:pPr>
        <w:pStyle w:val="a5"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F1B9D" w:rsidRPr="00A9567B" w:rsidRDefault="000D5BB4" w:rsidP="00FC54B3">
      <w:pPr>
        <w:pStyle w:val="a7"/>
        <w:widowControl w:val="0"/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9567B">
        <w:rPr>
          <w:rFonts w:ascii="Times New Roman" w:hAnsi="Times New Roman" w:cs="Times New Roman"/>
          <w:sz w:val="28"/>
          <w:szCs w:val="28"/>
        </w:rPr>
        <w:t xml:space="preserve">Оборот крупных и средних организаций, характеризующий коммерческую деятельность организаций, за 2024 год составил 73799,4 млн. руб. (99,2 % к 2023 году). </w:t>
      </w:r>
      <w:r w:rsidR="005F1B9D" w:rsidRPr="00A9567B">
        <w:rPr>
          <w:rFonts w:ascii="Times New Roman" w:hAnsi="Times New Roman" w:cs="Times New Roman"/>
          <w:sz w:val="28"/>
          <w:szCs w:val="28"/>
        </w:rPr>
        <w:t>По обороту организаций город Прокопьевск на 9 месте среди 1</w:t>
      </w:r>
      <w:r w:rsidR="002C70B2" w:rsidRPr="00A9567B">
        <w:rPr>
          <w:rFonts w:ascii="Times New Roman" w:hAnsi="Times New Roman" w:cs="Times New Roman"/>
          <w:sz w:val="28"/>
          <w:szCs w:val="28"/>
        </w:rPr>
        <w:t>5</w:t>
      </w:r>
      <w:r w:rsidR="005F1B9D" w:rsidRPr="00A9567B">
        <w:rPr>
          <w:rFonts w:ascii="Times New Roman" w:hAnsi="Times New Roman" w:cs="Times New Roman"/>
          <w:sz w:val="28"/>
          <w:szCs w:val="28"/>
        </w:rPr>
        <w:t xml:space="preserve"> городских округов.  </w:t>
      </w:r>
    </w:p>
    <w:p w:rsidR="005F1B9D" w:rsidRPr="00A9567B" w:rsidRDefault="005F1B9D" w:rsidP="00FC54B3">
      <w:pPr>
        <w:pStyle w:val="a7"/>
        <w:widowControl w:val="0"/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67B">
        <w:rPr>
          <w:rFonts w:ascii="Times New Roman" w:hAnsi="Times New Roman" w:cs="Times New Roman"/>
          <w:sz w:val="28"/>
          <w:szCs w:val="28"/>
        </w:rPr>
        <w:t>На крупных и средних предприятиях города по всем видам экономической деятельности отгружено товаров собственного производства за 202</w:t>
      </w:r>
      <w:r w:rsidR="002C70B2" w:rsidRPr="00A9567B">
        <w:rPr>
          <w:rFonts w:ascii="Times New Roman" w:hAnsi="Times New Roman" w:cs="Times New Roman"/>
          <w:sz w:val="28"/>
          <w:szCs w:val="28"/>
        </w:rPr>
        <w:t>4</w:t>
      </w:r>
      <w:r w:rsidRPr="00A9567B">
        <w:rPr>
          <w:rFonts w:ascii="Times New Roman" w:hAnsi="Times New Roman" w:cs="Times New Roman"/>
          <w:sz w:val="28"/>
          <w:szCs w:val="28"/>
        </w:rPr>
        <w:t xml:space="preserve"> год на сумму </w:t>
      </w:r>
      <w:r w:rsidR="002C70B2" w:rsidRPr="00A9567B">
        <w:rPr>
          <w:rFonts w:ascii="Times New Roman" w:hAnsi="Times New Roman" w:cs="Times New Roman"/>
          <w:sz w:val="28"/>
          <w:szCs w:val="28"/>
        </w:rPr>
        <w:t>35580,4</w:t>
      </w:r>
      <w:r w:rsidRPr="00A95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67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A9567B">
        <w:rPr>
          <w:rFonts w:ascii="Times New Roman" w:hAnsi="Times New Roman" w:cs="Times New Roman"/>
          <w:sz w:val="28"/>
          <w:szCs w:val="28"/>
        </w:rPr>
        <w:t xml:space="preserve">., в том числе промышленной продукции – </w:t>
      </w:r>
      <w:r w:rsidR="002C70B2" w:rsidRPr="00A9567B">
        <w:rPr>
          <w:rFonts w:ascii="Times New Roman" w:hAnsi="Times New Roman" w:cs="Times New Roman"/>
          <w:sz w:val="28"/>
          <w:szCs w:val="28"/>
        </w:rPr>
        <w:t>20781,3</w:t>
      </w:r>
      <w:r w:rsidRPr="00A9567B">
        <w:rPr>
          <w:rFonts w:ascii="Times New Roman" w:hAnsi="Times New Roman" w:cs="Times New Roman"/>
          <w:sz w:val="28"/>
          <w:szCs w:val="28"/>
        </w:rPr>
        <w:t xml:space="preserve"> млн. руб. (</w:t>
      </w:r>
      <w:r w:rsidR="002C70B2" w:rsidRPr="00A9567B">
        <w:rPr>
          <w:rFonts w:ascii="Times New Roman" w:hAnsi="Times New Roman" w:cs="Times New Roman"/>
          <w:sz w:val="28"/>
          <w:szCs w:val="28"/>
        </w:rPr>
        <w:t>рост к 2023 году на 6,8</w:t>
      </w:r>
      <w:r w:rsidRPr="00A9567B">
        <w:rPr>
          <w:rFonts w:ascii="Times New Roman" w:hAnsi="Times New Roman" w:cs="Times New Roman"/>
          <w:sz w:val="28"/>
          <w:szCs w:val="28"/>
        </w:rPr>
        <w:t xml:space="preserve"> %), доля  объема промышленного производства составила </w:t>
      </w:r>
      <w:r w:rsidR="002C70B2" w:rsidRPr="00A9567B">
        <w:rPr>
          <w:rFonts w:ascii="Times New Roman" w:hAnsi="Times New Roman" w:cs="Times New Roman"/>
          <w:sz w:val="28"/>
          <w:szCs w:val="28"/>
        </w:rPr>
        <w:t>58,4</w:t>
      </w:r>
      <w:r w:rsidRPr="00A9567B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F1B9D" w:rsidRPr="00A9567B" w:rsidRDefault="005F1B9D" w:rsidP="00FC54B3">
      <w:pPr>
        <w:pStyle w:val="a7"/>
        <w:widowControl w:val="0"/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67B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 учетом деятельности субъектов малого предпринимательства в промышленности  составил  </w:t>
      </w:r>
      <w:r w:rsidR="000D5BB4" w:rsidRPr="00A9567B">
        <w:rPr>
          <w:rFonts w:ascii="Times New Roman" w:hAnsi="Times New Roman" w:cs="Times New Roman"/>
          <w:sz w:val="28"/>
          <w:szCs w:val="28"/>
        </w:rPr>
        <w:t xml:space="preserve">31 965,7 </w:t>
      </w:r>
      <w:r w:rsidRPr="00A9567B">
        <w:rPr>
          <w:rFonts w:ascii="Times New Roman" w:hAnsi="Times New Roman" w:cs="Times New Roman"/>
          <w:sz w:val="28"/>
          <w:szCs w:val="28"/>
        </w:rPr>
        <w:t xml:space="preserve">млн. руб., </w:t>
      </w:r>
      <w:r w:rsidR="000D5BB4" w:rsidRPr="00A9567B">
        <w:rPr>
          <w:rFonts w:ascii="Times New Roman" w:hAnsi="Times New Roman" w:cs="Times New Roman"/>
          <w:sz w:val="28"/>
          <w:szCs w:val="28"/>
        </w:rPr>
        <w:t>увеличил</w:t>
      </w:r>
      <w:r w:rsidRPr="00A9567B">
        <w:rPr>
          <w:rFonts w:ascii="Times New Roman" w:hAnsi="Times New Roman" w:cs="Times New Roman"/>
          <w:sz w:val="28"/>
          <w:szCs w:val="28"/>
        </w:rPr>
        <w:t xml:space="preserve">ся на </w:t>
      </w:r>
      <w:r w:rsidR="000D5BB4" w:rsidRPr="00A9567B">
        <w:rPr>
          <w:rFonts w:ascii="Times New Roman" w:hAnsi="Times New Roman" w:cs="Times New Roman"/>
          <w:sz w:val="28"/>
          <w:szCs w:val="28"/>
        </w:rPr>
        <w:t>13,9</w:t>
      </w:r>
      <w:r w:rsidRPr="00A9567B">
        <w:rPr>
          <w:rFonts w:ascii="Times New Roman" w:hAnsi="Times New Roman" w:cs="Times New Roman"/>
          <w:sz w:val="28"/>
          <w:szCs w:val="28"/>
        </w:rPr>
        <w:t xml:space="preserve"> % к 202</w:t>
      </w:r>
      <w:r w:rsidR="000D5BB4" w:rsidRPr="00A9567B">
        <w:rPr>
          <w:rFonts w:ascii="Times New Roman" w:hAnsi="Times New Roman" w:cs="Times New Roman"/>
          <w:sz w:val="28"/>
          <w:szCs w:val="28"/>
        </w:rPr>
        <w:t>3</w:t>
      </w:r>
      <w:r w:rsidRPr="00A9567B">
        <w:rPr>
          <w:rFonts w:ascii="Times New Roman" w:hAnsi="Times New Roman" w:cs="Times New Roman"/>
          <w:sz w:val="28"/>
          <w:szCs w:val="28"/>
        </w:rPr>
        <w:t xml:space="preserve"> году, по добыче полезных ископаемых сократился </w:t>
      </w:r>
      <w:r w:rsidR="000D5BB4" w:rsidRPr="00A9567B">
        <w:rPr>
          <w:rFonts w:ascii="Times New Roman" w:hAnsi="Times New Roman" w:cs="Times New Roman"/>
          <w:sz w:val="28"/>
          <w:szCs w:val="28"/>
        </w:rPr>
        <w:t xml:space="preserve">17,3% </w:t>
      </w:r>
      <w:r w:rsidRPr="00A9567B">
        <w:rPr>
          <w:rFonts w:ascii="Times New Roman" w:hAnsi="Times New Roman" w:cs="Times New Roman"/>
          <w:sz w:val="28"/>
          <w:szCs w:val="28"/>
        </w:rPr>
        <w:t xml:space="preserve">и составил </w:t>
      </w:r>
      <w:r w:rsidR="000D5BB4" w:rsidRPr="00A9567B">
        <w:rPr>
          <w:rFonts w:ascii="Times New Roman" w:hAnsi="Times New Roman" w:cs="Times New Roman"/>
          <w:sz w:val="28"/>
          <w:szCs w:val="28"/>
        </w:rPr>
        <w:t>8 512,9</w:t>
      </w:r>
      <w:r w:rsidRPr="00A9567B">
        <w:rPr>
          <w:rFonts w:ascii="Times New Roman" w:hAnsi="Times New Roman" w:cs="Times New Roman"/>
          <w:sz w:val="28"/>
          <w:szCs w:val="28"/>
        </w:rPr>
        <w:t xml:space="preserve"> млн. руб.  (</w:t>
      </w:r>
      <w:r w:rsidR="00EC0DDE" w:rsidRPr="00A9567B">
        <w:rPr>
          <w:rFonts w:ascii="Times New Roman" w:hAnsi="Times New Roman" w:cs="Times New Roman"/>
          <w:sz w:val="28"/>
          <w:szCs w:val="28"/>
        </w:rPr>
        <w:t>доля в общем объеме промышленного производства 26,6 %; за 2023 год - 36,6 %</w:t>
      </w:r>
      <w:r w:rsidRPr="00A9567B">
        <w:rPr>
          <w:rFonts w:ascii="Times New Roman" w:hAnsi="Times New Roman" w:cs="Times New Roman"/>
          <w:sz w:val="28"/>
          <w:szCs w:val="28"/>
        </w:rPr>
        <w:t>) за счет снижения цены на уголь</w:t>
      </w:r>
      <w:r w:rsidR="000D5BB4" w:rsidRPr="00A9567B">
        <w:rPr>
          <w:rFonts w:ascii="Times New Roman" w:hAnsi="Times New Roman" w:cs="Times New Roman"/>
          <w:sz w:val="28"/>
          <w:szCs w:val="28"/>
        </w:rPr>
        <w:t xml:space="preserve"> и </w:t>
      </w:r>
      <w:r w:rsidR="000D5BB4"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объемов производства</w:t>
      </w:r>
      <w:r w:rsidRPr="00A9567B">
        <w:rPr>
          <w:rFonts w:ascii="Times New Roman" w:hAnsi="Times New Roman" w:cs="Times New Roman"/>
          <w:sz w:val="28"/>
          <w:szCs w:val="28"/>
        </w:rPr>
        <w:t xml:space="preserve">. Объем отгруженных товаров по обрабатывающим производствам вырос на </w:t>
      </w:r>
      <w:r w:rsidR="00EC0DDE" w:rsidRPr="00A9567B">
        <w:rPr>
          <w:rFonts w:ascii="Times New Roman" w:hAnsi="Times New Roman" w:cs="Times New Roman"/>
          <w:sz w:val="28"/>
          <w:szCs w:val="28"/>
        </w:rPr>
        <w:t>4</w:t>
      </w:r>
      <w:r w:rsidRPr="00A9567B">
        <w:rPr>
          <w:rFonts w:ascii="Times New Roman" w:hAnsi="Times New Roman" w:cs="Times New Roman"/>
          <w:sz w:val="28"/>
          <w:szCs w:val="28"/>
        </w:rPr>
        <w:t>2,</w:t>
      </w:r>
      <w:r w:rsidR="00EC0DDE" w:rsidRPr="00A9567B">
        <w:rPr>
          <w:rFonts w:ascii="Times New Roman" w:hAnsi="Times New Roman" w:cs="Times New Roman"/>
          <w:sz w:val="28"/>
          <w:szCs w:val="28"/>
        </w:rPr>
        <w:t>9</w:t>
      </w:r>
      <w:r w:rsidRPr="00A9567B">
        <w:rPr>
          <w:rFonts w:ascii="Times New Roman" w:hAnsi="Times New Roman" w:cs="Times New Roman"/>
          <w:sz w:val="28"/>
          <w:szCs w:val="28"/>
        </w:rPr>
        <w:t xml:space="preserve"> % и составил </w:t>
      </w:r>
      <w:r w:rsidR="00EC0DDE" w:rsidRPr="00A9567B">
        <w:rPr>
          <w:rFonts w:ascii="Times New Roman" w:hAnsi="Times New Roman" w:cs="Times New Roman"/>
          <w:sz w:val="28"/>
          <w:szCs w:val="28"/>
        </w:rPr>
        <w:t>16 793,1</w:t>
      </w:r>
      <w:r w:rsidRPr="00A9567B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="00EC0DDE" w:rsidRPr="00A9567B">
        <w:rPr>
          <w:rFonts w:ascii="Times New Roman" w:hAnsi="Times New Roman" w:cs="Times New Roman"/>
          <w:sz w:val="28"/>
          <w:szCs w:val="28"/>
        </w:rPr>
        <w:t xml:space="preserve"> </w:t>
      </w:r>
      <w:r w:rsidRPr="00A9567B">
        <w:rPr>
          <w:rFonts w:ascii="Times New Roman" w:hAnsi="Times New Roman" w:cs="Times New Roman"/>
          <w:sz w:val="28"/>
          <w:szCs w:val="28"/>
        </w:rPr>
        <w:t>(39,5 % от промышленного производства; за 202</w:t>
      </w:r>
      <w:r w:rsidR="00EC0DDE" w:rsidRPr="00A9567B">
        <w:rPr>
          <w:rFonts w:ascii="Times New Roman" w:hAnsi="Times New Roman" w:cs="Times New Roman"/>
          <w:sz w:val="28"/>
          <w:szCs w:val="28"/>
        </w:rPr>
        <w:t>3</w:t>
      </w:r>
      <w:r w:rsidRPr="00A9567B">
        <w:rPr>
          <w:rFonts w:ascii="Times New Roman" w:hAnsi="Times New Roman" w:cs="Times New Roman"/>
          <w:sz w:val="28"/>
          <w:szCs w:val="28"/>
        </w:rPr>
        <w:t xml:space="preserve"> год</w:t>
      </w:r>
      <w:r w:rsidR="00EC0DDE" w:rsidRPr="00A9567B">
        <w:rPr>
          <w:rFonts w:ascii="Times New Roman" w:hAnsi="Times New Roman" w:cs="Times New Roman"/>
          <w:sz w:val="28"/>
          <w:szCs w:val="28"/>
        </w:rPr>
        <w:t xml:space="preserve"> – 29,1%</w:t>
      </w:r>
      <w:r w:rsidRPr="00A9567B">
        <w:rPr>
          <w:rFonts w:ascii="Times New Roman" w:hAnsi="Times New Roman" w:cs="Times New Roman"/>
          <w:sz w:val="28"/>
          <w:szCs w:val="28"/>
        </w:rPr>
        <w:t>).</w:t>
      </w:r>
    </w:p>
    <w:p w:rsidR="005F1B9D" w:rsidRPr="006A4DA9" w:rsidRDefault="005F1B9D" w:rsidP="00FC54B3">
      <w:pPr>
        <w:pStyle w:val="a7"/>
        <w:widowControl w:val="0"/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9567B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0954FB" w:rsidRPr="00A9567B">
        <w:rPr>
          <w:rFonts w:ascii="Times New Roman" w:hAnsi="Times New Roman" w:cs="Times New Roman"/>
          <w:sz w:val="28"/>
          <w:szCs w:val="28"/>
        </w:rPr>
        <w:t>5</w:t>
      </w:r>
      <w:r w:rsidRPr="00A9567B">
        <w:rPr>
          <w:rFonts w:ascii="Times New Roman" w:hAnsi="Times New Roman" w:cs="Times New Roman"/>
          <w:sz w:val="28"/>
          <w:szCs w:val="28"/>
        </w:rPr>
        <w:t xml:space="preserve">г. в городе работают: </w:t>
      </w:r>
      <w:r w:rsidR="00326182" w:rsidRPr="00A9567B">
        <w:rPr>
          <w:rFonts w:ascii="Times New Roman" w:hAnsi="Times New Roman" w:cs="Times New Roman"/>
          <w:sz w:val="28"/>
          <w:szCs w:val="28"/>
        </w:rPr>
        <w:t>1331</w:t>
      </w:r>
      <w:r w:rsidRPr="00A9567B">
        <w:rPr>
          <w:rFonts w:ascii="Times New Roman" w:hAnsi="Times New Roman" w:cs="Times New Roman"/>
          <w:sz w:val="28"/>
          <w:szCs w:val="28"/>
        </w:rPr>
        <w:t xml:space="preserve"> малых предприятия, </w:t>
      </w:r>
      <w:r w:rsidR="00326182" w:rsidRPr="00A9567B">
        <w:rPr>
          <w:rFonts w:ascii="Times New Roman" w:hAnsi="Times New Roman" w:cs="Times New Roman"/>
          <w:sz w:val="28"/>
          <w:szCs w:val="28"/>
        </w:rPr>
        <w:t>3021</w:t>
      </w:r>
      <w:r w:rsidRPr="00A9567B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Pr="002B2A4C">
        <w:rPr>
          <w:rFonts w:ascii="Times New Roman" w:hAnsi="Times New Roman" w:cs="Times New Roman"/>
          <w:sz w:val="28"/>
          <w:szCs w:val="28"/>
        </w:rPr>
        <w:t>. Количество самозанятых на 01.01.202</w:t>
      </w:r>
      <w:r w:rsidR="002B2A4C" w:rsidRPr="002B2A4C">
        <w:rPr>
          <w:rFonts w:ascii="Times New Roman" w:hAnsi="Times New Roman" w:cs="Times New Roman"/>
          <w:sz w:val="28"/>
          <w:szCs w:val="28"/>
        </w:rPr>
        <w:t>5</w:t>
      </w:r>
      <w:r w:rsidRPr="002B2A4C">
        <w:rPr>
          <w:rFonts w:ascii="Times New Roman" w:hAnsi="Times New Roman" w:cs="Times New Roman"/>
          <w:sz w:val="28"/>
          <w:szCs w:val="28"/>
        </w:rPr>
        <w:t xml:space="preserve">г. составляет </w:t>
      </w:r>
      <w:r w:rsidR="002B2A4C" w:rsidRPr="002B2A4C">
        <w:rPr>
          <w:rFonts w:ascii="Times New Roman" w:hAnsi="Times New Roman" w:cs="Times New Roman"/>
          <w:sz w:val="28"/>
          <w:szCs w:val="28"/>
        </w:rPr>
        <w:t>9 812</w:t>
      </w:r>
      <w:r w:rsidRPr="002B2A4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5F1B9D" w:rsidRPr="00A9567B" w:rsidRDefault="005F1B9D" w:rsidP="00FC54B3">
      <w:pPr>
        <w:pStyle w:val="a7"/>
        <w:widowControl w:val="0"/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67B">
        <w:rPr>
          <w:rFonts w:ascii="Times New Roman" w:hAnsi="Times New Roman" w:cs="Times New Roman"/>
          <w:sz w:val="28"/>
          <w:szCs w:val="28"/>
        </w:rPr>
        <w:t xml:space="preserve">Средняя численность занятых на малых и средних предприятиях </w:t>
      </w:r>
      <w:r w:rsidR="00326182" w:rsidRPr="00A9567B">
        <w:rPr>
          <w:rFonts w:ascii="Times New Roman" w:hAnsi="Times New Roman" w:cs="Times New Roman"/>
          <w:sz w:val="28"/>
          <w:szCs w:val="28"/>
        </w:rPr>
        <w:t>–</w:t>
      </w:r>
      <w:r w:rsidRPr="00A9567B">
        <w:rPr>
          <w:rFonts w:ascii="Times New Roman" w:hAnsi="Times New Roman" w:cs="Times New Roman"/>
          <w:sz w:val="28"/>
          <w:szCs w:val="28"/>
        </w:rPr>
        <w:t xml:space="preserve"> 17</w:t>
      </w:r>
      <w:r w:rsidR="00326182" w:rsidRPr="00A9567B">
        <w:rPr>
          <w:rFonts w:ascii="Times New Roman" w:hAnsi="Times New Roman" w:cs="Times New Roman"/>
          <w:sz w:val="28"/>
          <w:szCs w:val="28"/>
        </w:rPr>
        <w:t>450</w:t>
      </w:r>
      <w:r w:rsidRPr="00A9567B">
        <w:rPr>
          <w:rFonts w:ascii="Times New Roman" w:hAnsi="Times New Roman" w:cs="Times New Roman"/>
          <w:sz w:val="28"/>
          <w:szCs w:val="28"/>
        </w:rPr>
        <w:t xml:space="preserve"> человек, (</w:t>
      </w:r>
      <w:r w:rsidR="00326182" w:rsidRPr="00A9567B">
        <w:rPr>
          <w:rFonts w:ascii="Times New Roman" w:hAnsi="Times New Roman" w:cs="Times New Roman"/>
          <w:sz w:val="28"/>
          <w:szCs w:val="28"/>
        </w:rPr>
        <w:t>2023</w:t>
      </w:r>
      <w:r w:rsidRPr="00A9567B">
        <w:rPr>
          <w:rFonts w:ascii="Times New Roman" w:hAnsi="Times New Roman" w:cs="Times New Roman"/>
          <w:sz w:val="28"/>
          <w:szCs w:val="28"/>
        </w:rPr>
        <w:t xml:space="preserve"> года -17</w:t>
      </w:r>
      <w:r w:rsidR="00326182" w:rsidRPr="00A9567B">
        <w:rPr>
          <w:rFonts w:ascii="Times New Roman" w:hAnsi="Times New Roman" w:cs="Times New Roman"/>
          <w:sz w:val="28"/>
          <w:szCs w:val="28"/>
        </w:rPr>
        <w:t>300</w:t>
      </w:r>
      <w:r w:rsidRPr="00A9567B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373857" w:rsidRPr="00A9567B" w:rsidRDefault="00373857" w:rsidP="0037385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567B">
        <w:rPr>
          <w:rFonts w:ascii="Times New Roman" w:hAnsi="Times New Roman" w:cs="Times New Roman"/>
          <w:color w:val="000000"/>
          <w:sz w:val="28"/>
          <w:szCs w:val="28"/>
        </w:rPr>
        <w:t>За 2024 год сальдированный финансовый результат (прибыль минус убыток) организаций (без субъектов малого предпринимательства) составил 10 123,7 млн. рублей убытков, за 2023 год убыток составлял 683,3 млн. рублей.</w:t>
      </w:r>
    </w:p>
    <w:p w:rsidR="005F1B9D" w:rsidRPr="00A9567B" w:rsidRDefault="005F1B9D" w:rsidP="00FC54B3">
      <w:pPr>
        <w:pStyle w:val="a7"/>
        <w:widowControl w:val="0"/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67B">
        <w:rPr>
          <w:rFonts w:ascii="Times New Roman" w:hAnsi="Times New Roman" w:cs="Times New Roman"/>
          <w:sz w:val="28"/>
          <w:szCs w:val="28"/>
        </w:rPr>
        <w:t>Объем инвестиций в основной капитал за счет всех источников финансирования за 202</w:t>
      </w:r>
      <w:r w:rsidR="0005187A" w:rsidRPr="00A9567B">
        <w:rPr>
          <w:rFonts w:ascii="Times New Roman" w:hAnsi="Times New Roman" w:cs="Times New Roman"/>
          <w:sz w:val="28"/>
          <w:szCs w:val="28"/>
        </w:rPr>
        <w:t>4</w:t>
      </w:r>
      <w:r w:rsidRPr="00A9567B">
        <w:rPr>
          <w:rFonts w:ascii="Times New Roman" w:hAnsi="Times New Roman" w:cs="Times New Roman"/>
          <w:sz w:val="28"/>
          <w:szCs w:val="28"/>
        </w:rPr>
        <w:t xml:space="preserve"> год по данным </w:t>
      </w:r>
      <w:proofErr w:type="spellStart"/>
      <w:r w:rsidRPr="00A9567B">
        <w:rPr>
          <w:rFonts w:ascii="Times New Roman" w:hAnsi="Times New Roman" w:cs="Times New Roman"/>
          <w:sz w:val="28"/>
          <w:szCs w:val="28"/>
        </w:rPr>
        <w:t>Кемеровостат</w:t>
      </w:r>
      <w:proofErr w:type="spellEnd"/>
      <w:r w:rsidRPr="00A9567B">
        <w:rPr>
          <w:rFonts w:ascii="Times New Roman" w:hAnsi="Times New Roman" w:cs="Times New Roman"/>
          <w:sz w:val="28"/>
          <w:szCs w:val="28"/>
        </w:rPr>
        <w:t xml:space="preserve"> </w:t>
      </w:r>
      <w:r w:rsidR="0005187A" w:rsidRPr="00A9567B">
        <w:rPr>
          <w:rFonts w:ascii="Times New Roman" w:hAnsi="Times New Roman" w:cs="Times New Roman"/>
          <w:sz w:val="28"/>
          <w:szCs w:val="28"/>
        </w:rPr>
        <w:t>6 411 млн. руб., к 2023 году темп роста составил 122,3%.</w:t>
      </w:r>
      <w:r w:rsidRPr="00A9567B">
        <w:rPr>
          <w:rFonts w:ascii="Times New Roman" w:hAnsi="Times New Roman" w:cs="Times New Roman"/>
          <w:sz w:val="28"/>
          <w:szCs w:val="28"/>
        </w:rPr>
        <w:t xml:space="preserve">, индекс физического объема </w:t>
      </w:r>
      <w:r w:rsidR="002C70B2" w:rsidRPr="00A9567B">
        <w:rPr>
          <w:rFonts w:ascii="Times New Roman" w:hAnsi="Times New Roman" w:cs="Times New Roman"/>
          <w:sz w:val="28"/>
          <w:szCs w:val="28"/>
        </w:rPr>
        <w:t>111,1</w:t>
      </w:r>
      <w:r w:rsidRPr="00A9567B">
        <w:rPr>
          <w:rFonts w:ascii="Times New Roman" w:hAnsi="Times New Roman" w:cs="Times New Roman"/>
          <w:sz w:val="28"/>
          <w:szCs w:val="28"/>
        </w:rPr>
        <w:t xml:space="preserve">%. </w:t>
      </w:r>
      <w:r w:rsidR="0005187A" w:rsidRPr="00A9567B">
        <w:rPr>
          <w:rFonts w:ascii="Times New Roman" w:hAnsi="Times New Roman" w:cs="Times New Roman"/>
          <w:sz w:val="28"/>
          <w:szCs w:val="28"/>
        </w:rPr>
        <w:t>По крупным и средним организациям объем инвестиций составил 5 536 млн. руб., это 146,6% к соответствующему периоду 2023 года.</w:t>
      </w:r>
      <w:r w:rsidRPr="00A9567B">
        <w:rPr>
          <w:rFonts w:ascii="Times New Roman" w:hAnsi="Times New Roman" w:cs="Times New Roman"/>
          <w:sz w:val="28"/>
          <w:szCs w:val="28"/>
        </w:rPr>
        <w:t xml:space="preserve">; индекс физического объема </w:t>
      </w:r>
      <w:r w:rsidR="002C70B2" w:rsidRPr="00A9567B">
        <w:rPr>
          <w:rFonts w:ascii="Times New Roman" w:hAnsi="Times New Roman" w:cs="Times New Roman"/>
          <w:sz w:val="28"/>
          <w:szCs w:val="28"/>
        </w:rPr>
        <w:t>133,1</w:t>
      </w:r>
      <w:r w:rsidRPr="00A9567B">
        <w:rPr>
          <w:rFonts w:ascii="Times New Roman" w:hAnsi="Times New Roman" w:cs="Times New Roman"/>
          <w:sz w:val="28"/>
          <w:szCs w:val="28"/>
        </w:rPr>
        <w:t>% к 202</w:t>
      </w:r>
      <w:r w:rsidR="002C70B2" w:rsidRPr="00A9567B">
        <w:rPr>
          <w:rFonts w:ascii="Times New Roman" w:hAnsi="Times New Roman" w:cs="Times New Roman"/>
          <w:sz w:val="28"/>
          <w:szCs w:val="28"/>
        </w:rPr>
        <w:t>3</w:t>
      </w:r>
      <w:r w:rsidRPr="00A9567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73857" w:rsidRPr="00A9567B" w:rsidRDefault="00373857" w:rsidP="00373857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Жилищный фонд на начало 2025 года составляет 5096,8 тыс. м2</w:t>
      </w:r>
      <w:r w:rsidR="006A4DA9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373857" w:rsidRPr="00A9567B" w:rsidRDefault="00373857" w:rsidP="00373857">
      <w:pPr>
        <w:pStyle w:val="a7"/>
        <w:widowControl w:val="0"/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9567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среднем на 1 жителя приходится 29.87 м2 общей площади жилых помещений. По отношению к 2023 году жилищный фонд уменьшился (5100,8 тыс. кв. метров) на 4 тыс. м2,</w:t>
      </w:r>
    </w:p>
    <w:p w:rsidR="005F1B9D" w:rsidRPr="00A9567B" w:rsidRDefault="005F1B9D" w:rsidP="00FC54B3">
      <w:pPr>
        <w:pStyle w:val="a7"/>
        <w:widowControl w:val="0"/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67B">
        <w:rPr>
          <w:rFonts w:ascii="Times New Roman" w:hAnsi="Times New Roman" w:cs="Times New Roman"/>
          <w:sz w:val="28"/>
          <w:szCs w:val="28"/>
        </w:rPr>
        <w:t>В рамках деятельности территории опережающего развития зарегистрировано 1</w:t>
      </w:r>
      <w:r w:rsidR="0005187A" w:rsidRPr="00A9567B">
        <w:rPr>
          <w:rFonts w:ascii="Times New Roman" w:hAnsi="Times New Roman" w:cs="Times New Roman"/>
          <w:sz w:val="28"/>
          <w:szCs w:val="28"/>
        </w:rPr>
        <w:t xml:space="preserve">6 </w:t>
      </w:r>
      <w:r w:rsidRPr="00A9567B">
        <w:rPr>
          <w:rFonts w:ascii="Times New Roman" w:hAnsi="Times New Roman" w:cs="Times New Roman"/>
          <w:sz w:val="28"/>
          <w:szCs w:val="28"/>
        </w:rPr>
        <w:t>резидентов. В 202</w:t>
      </w:r>
      <w:r w:rsidR="0005187A" w:rsidRPr="00A9567B">
        <w:rPr>
          <w:rFonts w:ascii="Times New Roman" w:hAnsi="Times New Roman" w:cs="Times New Roman"/>
          <w:sz w:val="28"/>
          <w:szCs w:val="28"/>
        </w:rPr>
        <w:t>4</w:t>
      </w:r>
      <w:r w:rsidRPr="00A9567B">
        <w:rPr>
          <w:rFonts w:ascii="Times New Roman" w:hAnsi="Times New Roman" w:cs="Times New Roman"/>
          <w:sz w:val="28"/>
          <w:szCs w:val="28"/>
        </w:rPr>
        <w:t xml:space="preserve"> году ими было вложено инвестиций </w:t>
      </w:r>
      <w:r w:rsidR="0005187A" w:rsidRPr="00A9567B">
        <w:rPr>
          <w:rFonts w:ascii="Times New Roman" w:hAnsi="Times New Roman" w:cs="Times New Roman"/>
          <w:sz w:val="28"/>
          <w:szCs w:val="28"/>
        </w:rPr>
        <w:t xml:space="preserve">222,2 </w:t>
      </w:r>
      <w:r w:rsidRPr="00A9567B">
        <w:rPr>
          <w:rFonts w:ascii="Times New Roman" w:hAnsi="Times New Roman" w:cs="Times New Roman"/>
          <w:sz w:val="28"/>
          <w:szCs w:val="28"/>
        </w:rPr>
        <w:t>млн. рублей.</w:t>
      </w:r>
    </w:p>
    <w:p w:rsidR="005F1B9D" w:rsidRPr="00A9567B" w:rsidRDefault="005F1B9D" w:rsidP="00FC54B3">
      <w:pPr>
        <w:pStyle w:val="a7"/>
        <w:widowControl w:val="0"/>
        <w:spacing w:after="0"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67B">
        <w:rPr>
          <w:rFonts w:ascii="Times New Roman" w:hAnsi="Times New Roman" w:cs="Times New Roman"/>
          <w:sz w:val="28"/>
          <w:szCs w:val="28"/>
        </w:rPr>
        <w:t>Среднемесячная заработная плата одного работника (по крупным и средним организациям) по данным статистики за 202</w:t>
      </w:r>
      <w:r w:rsidR="00F34213" w:rsidRPr="00A9567B">
        <w:rPr>
          <w:rFonts w:ascii="Times New Roman" w:hAnsi="Times New Roman" w:cs="Times New Roman"/>
          <w:sz w:val="28"/>
          <w:szCs w:val="28"/>
        </w:rPr>
        <w:t>4</w:t>
      </w:r>
      <w:r w:rsidRPr="00A9567B">
        <w:rPr>
          <w:rFonts w:ascii="Times New Roman" w:hAnsi="Times New Roman" w:cs="Times New Roman"/>
          <w:sz w:val="28"/>
          <w:szCs w:val="28"/>
        </w:rPr>
        <w:t xml:space="preserve"> год увеличилась на 16,</w:t>
      </w:r>
      <w:r w:rsidR="0005187A" w:rsidRPr="00A9567B">
        <w:rPr>
          <w:rFonts w:ascii="Times New Roman" w:hAnsi="Times New Roman" w:cs="Times New Roman"/>
          <w:sz w:val="28"/>
          <w:szCs w:val="28"/>
        </w:rPr>
        <w:t>6</w:t>
      </w:r>
      <w:r w:rsidRPr="00A9567B">
        <w:rPr>
          <w:rFonts w:ascii="Times New Roman" w:hAnsi="Times New Roman" w:cs="Times New Roman"/>
          <w:sz w:val="28"/>
          <w:szCs w:val="28"/>
        </w:rPr>
        <w:t xml:space="preserve"> % к 202</w:t>
      </w:r>
      <w:r w:rsidR="0005187A" w:rsidRPr="00A9567B">
        <w:rPr>
          <w:rFonts w:ascii="Times New Roman" w:hAnsi="Times New Roman" w:cs="Times New Roman"/>
          <w:sz w:val="28"/>
          <w:szCs w:val="28"/>
        </w:rPr>
        <w:t>3</w:t>
      </w:r>
      <w:r w:rsidRPr="00A9567B">
        <w:rPr>
          <w:rFonts w:ascii="Times New Roman" w:hAnsi="Times New Roman" w:cs="Times New Roman"/>
          <w:sz w:val="28"/>
          <w:szCs w:val="28"/>
        </w:rPr>
        <w:t xml:space="preserve"> году и составила </w:t>
      </w:r>
      <w:r w:rsidR="0005187A" w:rsidRPr="00A9567B">
        <w:rPr>
          <w:rFonts w:ascii="Times New Roman" w:hAnsi="Times New Roman" w:cs="Times New Roman"/>
          <w:sz w:val="28"/>
          <w:szCs w:val="28"/>
        </w:rPr>
        <w:t>66 883</w:t>
      </w:r>
      <w:r w:rsidRPr="00A9567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F1B9D" w:rsidRPr="00A9567B" w:rsidRDefault="005F1B9D" w:rsidP="00FC54B3">
      <w:pPr>
        <w:widowControl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67B">
        <w:rPr>
          <w:rFonts w:ascii="Times New Roman" w:hAnsi="Times New Roman" w:cs="Times New Roman"/>
          <w:sz w:val="28"/>
          <w:szCs w:val="28"/>
        </w:rPr>
        <w:t>Постоянное население города</w:t>
      </w:r>
      <w:r w:rsidR="002B2A4C">
        <w:rPr>
          <w:rFonts w:ascii="Times New Roman" w:hAnsi="Times New Roman" w:cs="Times New Roman"/>
          <w:sz w:val="28"/>
          <w:szCs w:val="28"/>
        </w:rPr>
        <w:t>,</w:t>
      </w:r>
      <w:r w:rsidRPr="00A9567B">
        <w:rPr>
          <w:rFonts w:ascii="Times New Roman" w:hAnsi="Times New Roman" w:cs="Times New Roman"/>
          <w:sz w:val="28"/>
          <w:szCs w:val="28"/>
        </w:rPr>
        <w:t xml:space="preserve"> учитывая естественную убыль и сальдо миграции на 01.01.2025г., составило 170,</w:t>
      </w:r>
      <w:r w:rsidR="00EA67BE" w:rsidRPr="00A9567B">
        <w:rPr>
          <w:rFonts w:ascii="Times New Roman" w:hAnsi="Times New Roman" w:cs="Times New Roman"/>
          <w:sz w:val="28"/>
          <w:szCs w:val="28"/>
        </w:rPr>
        <w:t>429</w:t>
      </w:r>
      <w:r w:rsidRPr="00A9567B">
        <w:rPr>
          <w:rFonts w:ascii="Times New Roman" w:hAnsi="Times New Roman" w:cs="Times New Roman"/>
          <w:sz w:val="28"/>
          <w:szCs w:val="28"/>
        </w:rPr>
        <w:t xml:space="preserve"> тыс.</w:t>
      </w:r>
      <w:r w:rsidR="002B2A4C">
        <w:rPr>
          <w:rFonts w:ascii="Times New Roman" w:hAnsi="Times New Roman" w:cs="Times New Roman"/>
          <w:sz w:val="28"/>
          <w:szCs w:val="28"/>
        </w:rPr>
        <w:t xml:space="preserve"> </w:t>
      </w:r>
      <w:r w:rsidRPr="00A9567B">
        <w:rPr>
          <w:rFonts w:ascii="Times New Roman" w:hAnsi="Times New Roman" w:cs="Times New Roman"/>
          <w:sz w:val="28"/>
          <w:szCs w:val="28"/>
        </w:rPr>
        <w:t>чел.</w:t>
      </w:r>
    </w:p>
    <w:p w:rsidR="005F1B9D" w:rsidRPr="00A9567B" w:rsidRDefault="005F1B9D" w:rsidP="006322A0">
      <w:pPr>
        <w:widowControl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567B">
        <w:rPr>
          <w:rFonts w:ascii="Times New Roman" w:hAnsi="Times New Roman" w:cs="Times New Roman"/>
          <w:sz w:val="28"/>
          <w:szCs w:val="28"/>
        </w:rPr>
        <w:t>В городе все объекты жизнеобеспечения функционируют в нормальном режиме, развиваются и функционируют объекты здравоохранения, образования, культуры, физкультуры. Гордостью города являются спортивные и творческие коллективы, чьи достижения известны за пределами нашего города.</w:t>
      </w:r>
    </w:p>
    <w:p w:rsidR="00373857" w:rsidRPr="00A9567B" w:rsidRDefault="00373857" w:rsidP="00334FCF">
      <w:pPr>
        <w:widowControl w:val="0"/>
        <w:spacing w:after="0" w:line="240" w:lineRule="auto"/>
        <w:ind w:left="-284" w:right="-28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9567B">
        <w:rPr>
          <w:rFonts w:ascii="Times New Roman" w:eastAsia="Calibri" w:hAnsi="Times New Roman"/>
          <w:b/>
          <w:sz w:val="28"/>
          <w:szCs w:val="28"/>
        </w:rPr>
        <w:t xml:space="preserve">Основные показатели социально-экономического развития </w:t>
      </w:r>
    </w:p>
    <w:p w:rsidR="00373857" w:rsidRPr="00A9567B" w:rsidRDefault="00373857" w:rsidP="00334FCF">
      <w:pPr>
        <w:widowControl w:val="0"/>
        <w:spacing w:line="240" w:lineRule="auto"/>
        <w:ind w:left="-284" w:right="-291"/>
        <w:jc w:val="center"/>
        <w:rPr>
          <w:rFonts w:ascii="Times New Roman" w:eastAsia="Calibri" w:hAnsi="Times New Roman"/>
          <w:b/>
          <w:sz w:val="28"/>
          <w:szCs w:val="28"/>
        </w:rPr>
      </w:pPr>
      <w:proofErr w:type="spellStart"/>
      <w:r w:rsidRPr="00A9567B">
        <w:rPr>
          <w:rFonts w:ascii="Times New Roman" w:eastAsia="Calibri" w:hAnsi="Times New Roman"/>
          <w:b/>
          <w:sz w:val="28"/>
          <w:szCs w:val="28"/>
        </w:rPr>
        <w:t>Прокопьевского</w:t>
      </w:r>
      <w:proofErr w:type="spellEnd"/>
      <w:r w:rsidRPr="00A9567B">
        <w:rPr>
          <w:rFonts w:ascii="Times New Roman" w:eastAsia="Calibri" w:hAnsi="Times New Roman"/>
          <w:b/>
          <w:sz w:val="28"/>
          <w:szCs w:val="28"/>
        </w:rPr>
        <w:t xml:space="preserve"> городского округа, млн руб.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1134"/>
        <w:gridCol w:w="1134"/>
        <w:gridCol w:w="1182"/>
      </w:tblGrid>
      <w:tr w:rsidR="00373857" w:rsidRPr="00A9567B" w:rsidTr="00334FCF">
        <w:trPr>
          <w:trHeight w:val="529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ind w:left="-104"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ind w:left="-113"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в %,</w:t>
            </w:r>
          </w:p>
          <w:p w:rsidR="00373857" w:rsidRPr="00A9567B" w:rsidRDefault="00373857" w:rsidP="00334FCF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темп роста</w:t>
            </w:r>
          </w:p>
        </w:tc>
      </w:tr>
      <w:tr w:rsidR="00373857" w:rsidRPr="00A9567B" w:rsidTr="00916429">
        <w:trPr>
          <w:trHeight w:val="644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отгруженных товаров собственного производства, выполненных работ и услуг собственными силами, млн.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35425,1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35580,4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100,4</w:t>
            </w:r>
          </w:p>
        </w:tc>
      </w:tr>
      <w:tr w:rsidR="00373857" w:rsidRPr="00A9567B" w:rsidTr="00916429">
        <w:trPr>
          <w:trHeight w:val="151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3857" w:rsidRPr="00A9567B" w:rsidTr="006322A0">
        <w:trPr>
          <w:trHeight w:val="240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firstLineChars="100" w:firstLin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10189,8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8371,4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82,2</w:t>
            </w:r>
          </w:p>
        </w:tc>
      </w:tr>
      <w:tr w:rsidR="00373857" w:rsidRPr="00A9567B" w:rsidTr="006322A0">
        <w:trPr>
          <w:trHeight w:val="215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firstLineChars="100" w:firstLin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4234,7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6853,9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161,9</w:t>
            </w:r>
          </w:p>
        </w:tc>
      </w:tr>
      <w:tr w:rsidR="00373857" w:rsidRPr="00A9567B" w:rsidTr="00916429">
        <w:trPr>
          <w:trHeight w:val="197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firstLineChars="100" w:firstLin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4296,6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4804,4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111,8</w:t>
            </w:r>
          </w:p>
        </w:tc>
      </w:tr>
      <w:tr w:rsidR="00373857" w:rsidRPr="00A9567B" w:rsidTr="00916429">
        <w:trPr>
          <w:trHeight w:val="197"/>
          <w:jc w:val="center"/>
        </w:trPr>
        <w:tc>
          <w:tcPr>
            <w:tcW w:w="6799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firstLineChars="100" w:firstLin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732,4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751,6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102,6</w:t>
            </w:r>
          </w:p>
        </w:tc>
      </w:tr>
      <w:tr w:rsidR="00373857" w:rsidRPr="00A9567B" w:rsidTr="00916429">
        <w:trPr>
          <w:trHeight w:val="97"/>
          <w:jc w:val="center"/>
        </w:trPr>
        <w:tc>
          <w:tcPr>
            <w:tcW w:w="6799" w:type="dxa"/>
            <w:shd w:val="clear" w:color="auto" w:fill="FFFFFF" w:themeFill="background1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Добыча угля, млн. тонн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97,7</w:t>
            </w:r>
          </w:p>
        </w:tc>
      </w:tr>
      <w:tr w:rsidR="00373857" w:rsidRPr="00A9567B" w:rsidTr="00373857">
        <w:trPr>
          <w:trHeight w:val="323"/>
          <w:jc w:val="center"/>
        </w:trPr>
        <w:tc>
          <w:tcPr>
            <w:tcW w:w="6799" w:type="dxa"/>
            <w:shd w:val="clear" w:color="auto" w:fill="FFFFFF" w:themeFill="background1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</w:t>
            </w:r>
            <w:r w:rsidRPr="00A956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производства продукции сельского хозяйства, млн. руб.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3857" w:rsidRPr="00A9567B" w:rsidTr="00916429">
        <w:trPr>
          <w:trHeight w:val="343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Работы, выполненные по виду деятельности «Строительство», млн.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5396,2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5424,4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100,5</w:t>
            </w:r>
          </w:p>
        </w:tc>
      </w:tr>
      <w:tr w:rsidR="00373857" w:rsidRPr="00A9567B" w:rsidTr="00916429">
        <w:trPr>
          <w:trHeight w:val="157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 жилых домов: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3857" w:rsidRPr="00A9567B" w:rsidTr="006322A0">
        <w:trPr>
          <w:trHeight w:val="191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ind w:left="211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квартир, единиц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68,0</w:t>
            </w:r>
          </w:p>
        </w:tc>
      </w:tr>
      <w:tr w:rsidR="00373857" w:rsidRPr="00A9567B" w:rsidTr="006322A0">
        <w:trPr>
          <w:trHeight w:val="296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ind w:left="2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ввод жилья, тыс. м кв.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15,210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11,052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72,7</w:t>
            </w:r>
          </w:p>
        </w:tc>
      </w:tr>
      <w:tr w:rsidR="00373857" w:rsidRPr="00A9567B" w:rsidTr="006322A0">
        <w:trPr>
          <w:trHeight w:val="212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в основной капитал, млн.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5 017,601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6499,494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129,5</w:t>
            </w:r>
          </w:p>
        </w:tc>
      </w:tr>
      <w:tr w:rsidR="00373857" w:rsidRPr="00A9567B" w:rsidTr="00916429">
        <w:trPr>
          <w:trHeight w:val="309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Оборот розничной торговли, млн.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31914,0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36419,0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114,1</w:t>
            </w:r>
          </w:p>
        </w:tc>
      </w:tr>
      <w:tr w:rsidR="00373857" w:rsidRPr="00A9567B" w:rsidTr="00916429">
        <w:trPr>
          <w:trHeight w:val="151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питания, млн.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2 481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2 908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117,2</w:t>
            </w:r>
          </w:p>
        </w:tc>
      </w:tr>
      <w:tr w:rsidR="00373857" w:rsidRPr="00A9567B" w:rsidTr="00916429">
        <w:trPr>
          <w:trHeight w:val="173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Объем реализации платных услуг населению, млн.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9 668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11 101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114,8</w:t>
            </w:r>
          </w:p>
        </w:tc>
      </w:tr>
      <w:tr w:rsidR="00373857" w:rsidRPr="00A9567B" w:rsidTr="00916429">
        <w:trPr>
          <w:trHeight w:val="419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Сальдированный финансовый результат</w:t>
            </w:r>
          </w:p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(крупные и средние организации), млн.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-683,324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-10 123,7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373857" w:rsidRPr="00A9567B" w:rsidTr="00916429">
        <w:trPr>
          <w:trHeight w:val="217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 заработная плата работников организаций (без субъектов малого предпринимательства),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57416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66883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116,5</w:t>
            </w:r>
          </w:p>
        </w:tc>
      </w:tr>
      <w:tr w:rsidR="00373857" w:rsidRPr="00A9567B" w:rsidTr="00916429">
        <w:trPr>
          <w:trHeight w:val="183"/>
          <w:jc w:val="center"/>
        </w:trPr>
        <w:tc>
          <w:tcPr>
            <w:tcW w:w="6799" w:type="dxa"/>
            <w:shd w:val="clear" w:color="auto" w:fill="auto"/>
            <w:vAlign w:val="bottom"/>
          </w:tcPr>
          <w:p w:rsidR="00373857" w:rsidRPr="00A9567B" w:rsidRDefault="00373857" w:rsidP="00916429">
            <w:pPr>
              <w:widowControl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Среднесписочная численность работников                                    </w:t>
            </w:r>
            <w:proofErr w:type="gramStart"/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без субъектов малого предпринимательства), 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04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25,794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25,476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373857" w:rsidRPr="00A9567B" w:rsidRDefault="00373857" w:rsidP="00916429">
            <w:pPr>
              <w:widowControl w:val="0"/>
              <w:spacing w:after="0"/>
              <w:ind w:left="-113" w:right="-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67B">
              <w:rPr>
                <w:rFonts w:ascii="Times New Roman" w:eastAsia="Calibri" w:hAnsi="Times New Roman" w:cs="Times New Roman"/>
                <w:sz w:val="24"/>
                <w:szCs w:val="24"/>
              </w:rPr>
              <w:t>98,8</w:t>
            </w:r>
          </w:p>
        </w:tc>
      </w:tr>
    </w:tbl>
    <w:p w:rsidR="005F1B9D" w:rsidRPr="00A9567B" w:rsidRDefault="005F1B9D" w:rsidP="006322A0">
      <w:pPr>
        <w:widowControl w:val="0"/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67B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Оборот крупных и средних организаций, характеризующий коммерческую деятельность организаций, за 2024 год составил 73799,4 млн. руб. (99,2 % к 2023 году). 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За 2024 год наметился рост объемов промышленного производства. Вырос объем отгруженных товаров собственного производства, выполненных работ и услуг с учетом деятельности субъектов малого предпринимательства в промышленности на 13,9 % к 2023 году и составил 31965,7 млн. руб., а по добыче полезных ископаемых сократился на 17,3 % и составил 8512,9 млн. руб.  (</w:t>
      </w:r>
      <w:r w:rsidR="000D5BB4"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доля в общем объеме </w:t>
      </w: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промышленного производства</w:t>
      </w:r>
      <w:r w:rsidR="00EC0DDE"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26,6 %</w:t>
      </w: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; за 2023 год</w:t>
      </w:r>
      <w:r w:rsidR="00EC0DDE"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- 36,6 %</w:t>
      </w: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) за счет снижения цены на уголь и объемов производства (индекс производства 87,2 %). Объем отгруженных товаров по обрабатывающим производствам напротив вырос на 42,9 % и составил 16793,1 млн. руб. (52,5% от промышленного производства; 41,9 % - за 2023 год).</w:t>
      </w:r>
    </w:p>
    <w:tbl>
      <w:tblPr>
        <w:tblStyle w:val="-751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1276"/>
        <w:gridCol w:w="1275"/>
        <w:gridCol w:w="993"/>
        <w:gridCol w:w="1559"/>
      </w:tblGrid>
      <w:tr w:rsidR="00F12DDF" w:rsidRPr="00F12DDF" w:rsidTr="00392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567"/>
              <w:jc w:val="both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Виды экономической деятельности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DDF" w:rsidRPr="003928AF" w:rsidRDefault="00F12DDF" w:rsidP="00F12DD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Объем отгруженных</w:t>
            </w:r>
          </w:p>
          <w:p w:rsidR="00F12DDF" w:rsidRPr="003928AF" w:rsidRDefault="00F12DDF" w:rsidP="003928AF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товаров, млн. руб.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%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12DDF" w:rsidRPr="003928AF" w:rsidRDefault="00F12DDF" w:rsidP="00625C06">
            <w:pPr>
              <w:widowControl w:val="0"/>
              <w:spacing w:line="276" w:lineRule="auto"/>
              <w:ind w:left="-135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Индекс производства</w:t>
            </w:r>
          </w:p>
        </w:tc>
      </w:tr>
      <w:tr w:rsidR="00F12DDF" w:rsidRPr="00F12DDF" w:rsidTr="003928AF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567"/>
              <w:jc w:val="both"/>
              <w:rPr>
                <w:rFonts w:ascii="Arial" w:hAnsi="Arial" w:cs="Arial"/>
                <w:color w:val="auto"/>
                <w:kern w:val="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2023г.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DDF" w:rsidRPr="003928AF" w:rsidRDefault="00F12DDF" w:rsidP="003928AF">
            <w:pPr>
              <w:widowControl w:val="0"/>
              <w:tabs>
                <w:tab w:val="center" w:pos="672"/>
              </w:tabs>
              <w:spacing w:line="276" w:lineRule="auto"/>
              <w:jc w:val="center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2024г.</w:t>
            </w:r>
          </w:p>
        </w:tc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kern w:val="1"/>
                <w:sz w:val="26"/>
                <w:szCs w:val="26"/>
                <w:highlight w:val="gree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2DDF" w:rsidRPr="003928AF" w:rsidRDefault="00F12DDF" w:rsidP="00F12DDF">
            <w:pPr>
              <w:widowControl w:val="0"/>
              <w:ind w:firstLine="567"/>
              <w:jc w:val="both"/>
              <w:rPr>
                <w:rFonts w:ascii="Arial" w:hAnsi="Arial" w:cs="Arial"/>
                <w:color w:val="auto"/>
                <w:kern w:val="1"/>
                <w:sz w:val="26"/>
                <w:szCs w:val="26"/>
                <w:highlight w:val="green"/>
              </w:rPr>
            </w:pPr>
          </w:p>
        </w:tc>
      </w:tr>
      <w:tr w:rsidR="00F12DDF" w:rsidRPr="00F12DDF" w:rsidTr="00392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10289,3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8512,9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82,7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12DDF" w:rsidRPr="003928AF" w:rsidRDefault="00F12DDF" w:rsidP="00625C06">
            <w:pPr>
              <w:widowControl w:val="0"/>
              <w:spacing w:line="276" w:lineRule="auto"/>
              <w:ind w:right="66"/>
              <w:jc w:val="center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87,2</w:t>
            </w:r>
          </w:p>
        </w:tc>
      </w:tr>
      <w:tr w:rsidR="00F12DDF" w:rsidRPr="00F12DDF" w:rsidTr="003928AF">
        <w:trPr>
          <w:trHeight w:val="2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в т.ч. на крупных и средних предприятиях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10189,8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8371,4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82,2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rPr>
                <w:color w:val="auto"/>
                <w:kern w:val="1"/>
                <w:sz w:val="26"/>
                <w:szCs w:val="26"/>
              </w:rPr>
            </w:pPr>
          </w:p>
        </w:tc>
      </w:tr>
      <w:tr w:rsidR="00F12DDF" w:rsidRPr="00F12DDF" w:rsidTr="00392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Обрабатывающие производства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11750,7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16793,1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142,9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90,6</w:t>
            </w:r>
          </w:p>
        </w:tc>
      </w:tr>
      <w:tr w:rsidR="00F12DDF" w:rsidRPr="00F12DDF" w:rsidTr="003928AF">
        <w:trPr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в т.ч. на крупных и средних предприятиях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4234,7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6853,9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161,9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rPr>
                <w:color w:val="auto"/>
                <w:kern w:val="1"/>
                <w:sz w:val="26"/>
                <w:szCs w:val="26"/>
              </w:rPr>
            </w:pPr>
          </w:p>
        </w:tc>
      </w:tr>
      <w:tr w:rsidR="00F12DDF" w:rsidRPr="00F12DDF" w:rsidTr="00392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5155,1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5724,4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111,0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99,1</w:t>
            </w:r>
          </w:p>
        </w:tc>
      </w:tr>
      <w:tr w:rsidR="00F12DDF" w:rsidRPr="00F12DDF" w:rsidTr="003928AF">
        <w:trPr>
          <w:trHeight w:val="3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в т.ч. на крупных и средних предприятиях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4296,6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4804,4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111,8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rPr>
                <w:color w:val="auto"/>
                <w:kern w:val="1"/>
                <w:sz w:val="26"/>
                <w:szCs w:val="26"/>
              </w:rPr>
            </w:pPr>
          </w:p>
        </w:tc>
      </w:tr>
      <w:tr w:rsidR="00F12DDF" w:rsidRPr="00F12DDF" w:rsidTr="00392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880,0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935,3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106,3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rPr>
                <w:b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color w:val="auto"/>
                <w:kern w:val="1"/>
                <w:sz w:val="26"/>
                <w:szCs w:val="26"/>
              </w:rPr>
              <w:t>96,6</w:t>
            </w:r>
          </w:p>
        </w:tc>
      </w:tr>
      <w:tr w:rsidR="00F12DDF" w:rsidRPr="00F12DDF" w:rsidTr="003928AF">
        <w:trPr>
          <w:trHeight w:val="1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в т.ч. на крупных и средних предприятиях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732,4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751,6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kern w:val="1"/>
                <w:sz w:val="26"/>
                <w:szCs w:val="26"/>
              </w:rPr>
            </w:pPr>
            <w:r w:rsidRPr="003928AF">
              <w:rPr>
                <w:color w:val="auto"/>
                <w:kern w:val="1"/>
                <w:sz w:val="26"/>
                <w:szCs w:val="26"/>
              </w:rPr>
              <w:t>102,6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rPr>
                <w:color w:val="auto"/>
                <w:kern w:val="1"/>
                <w:sz w:val="26"/>
                <w:szCs w:val="26"/>
              </w:rPr>
            </w:pPr>
          </w:p>
        </w:tc>
      </w:tr>
      <w:tr w:rsidR="00F12DDF" w:rsidRPr="00F12DDF" w:rsidTr="003928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rPr>
                <w:b/>
                <w:bCs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bCs/>
                <w:color w:val="auto"/>
                <w:kern w:val="1"/>
                <w:sz w:val="26"/>
                <w:szCs w:val="26"/>
              </w:rPr>
              <w:t>Итого промышленное производство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bCs/>
                <w:color w:val="auto"/>
                <w:kern w:val="1"/>
                <w:sz w:val="26"/>
                <w:szCs w:val="26"/>
              </w:rPr>
              <w:t>28075,1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rPr>
                <w:b/>
                <w:bCs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bCs/>
                <w:color w:val="auto"/>
                <w:kern w:val="1"/>
                <w:sz w:val="26"/>
                <w:szCs w:val="26"/>
              </w:rPr>
              <w:t>31965,7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bCs/>
                <w:color w:val="auto"/>
                <w:kern w:val="1"/>
                <w:sz w:val="26"/>
                <w:szCs w:val="26"/>
              </w:rPr>
              <w:t>113,9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rPr>
                <w:b/>
                <w:bCs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bCs/>
                <w:color w:val="auto"/>
                <w:kern w:val="1"/>
                <w:sz w:val="26"/>
                <w:szCs w:val="26"/>
              </w:rPr>
              <w:t>89,2</w:t>
            </w:r>
          </w:p>
        </w:tc>
      </w:tr>
      <w:tr w:rsidR="00F12DDF" w:rsidRPr="00F12DDF" w:rsidTr="003928AF">
        <w:trPr>
          <w:trHeight w:val="1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2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rPr>
                <w:b/>
                <w:bCs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bCs/>
                <w:color w:val="auto"/>
                <w:kern w:val="1"/>
                <w:sz w:val="26"/>
                <w:szCs w:val="26"/>
              </w:rPr>
              <w:t>в т.ч. на крупных и средних предприятиях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bCs/>
                <w:color w:val="auto"/>
                <w:kern w:val="1"/>
                <w:sz w:val="26"/>
                <w:szCs w:val="26"/>
              </w:rPr>
              <w:t>19453,5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ind w:firstLine="14"/>
              <w:jc w:val="center"/>
              <w:rPr>
                <w:b/>
                <w:bCs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bCs/>
                <w:color w:val="auto"/>
                <w:kern w:val="1"/>
                <w:sz w:val="26"/>
                <w:szCs w:val="26"/>
              </w:rPr>
              <w:t>20781,3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kern w:val="1"/>
                <w:sz w:val="26"/>
                <w:szCs w:val="26"/>
              </w:rPr>
            </w:pPr>
            <w:r w:rsidRPr="003928AF">
              <w:rPr>
                <w:b/>
                <w:bCs/>
                <w:color w:val="auto"/>
                <w:kern w:val="1"/>
                <w:sz w:val="26"/>
                <w:szCs w:val="26"/>
              </w:rPr>
              <w:t>106,8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shd w:val="clear" w:color="auto" w:fill="auto"/>
            <w:vAlign w:val="center"/>
          </w:tcPr>
          <w:p w:rsidR="00F12DDF" w:rsidRPr="003928AF" w:rsidRDefault="00F12DDF" w:rsidP="00F12DDF">
            <w:pPr>
              <w:widowControl w:val="0"/>
              <w:spacing w:line="276" w:lineRule="auto"/>
              <w:jc w:val="center"/>
              <w:rPr>
                <w:b/>
                <w:bCs/>
                <w:color w:val="auto"/>
                <w:kern w:val="1"/>
                <w:sz w:val="26"/>
                <w:szCs w:val="26"/>
              </w:rPr>
            </w:pPr>
          </w:p>
        </w:tc>
      </w:tr>
    </w:tbl>
    <w:p w:rsidR="00F12DDF" w:rsidRPr="00A9567B" w:rsidRDefault="00F12DDF" w:rsidP="00334FCF">
      <w:pPr>
        <w:widowControl w:val="0"/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Добыча полезных ископаемых</w:t>
      </w:r>
    </w:p>
    <w:p w:rsidR="00F12DDF" w:rsidRPr="00A9567B" w:rsidRDefault="00F12DDF" w:rsidP="00F12DDF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Объем отгруженных товаров по полному кругу организаций (по данным 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Кемеровостата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) по добыче полезных ископаемых сократился на 17,3 % и составил 8512,9 млн. руб. (26,6 % от промышленного производства; 36,1 % - за 2023 год) за счет снижения цены на уголь и объемов производства. Индекс производства за 2024 год - 87,2 %.</w:t>
      </w:r>
    </w:p>
    <w:p w:rsidR="00F12DDF" w:rsidRPr="00A9567B" w:rsidRDefault="00F12DDF" w:rsidP="00F12DDF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 01.01.2025 на территории города добычу угля осуществляют:</w:t>
      </w:r>
    </w:p>
    <w:p w:rsidR="00F12DDF" w:rsidRPr="00A9567B" w:rsidRDefault="00F12DDF" w:rsidP="00F12DDF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 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ЭнергиЯ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-НК (ООО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МелТЭК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»);</w:t>
      </w:r>
    </w:p>
    <w:p w:rsidR="00F12DDF" w:rsidRPr="00A9567B" w:rsidRDefault="00F12DDF" w:rsidP="00F12DDF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 АО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Прокопьевский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угольный разрез» (ООО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МелТЭК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»);</w:t>
      </w:r>
    </w:p>
    <w:p w:rsidR="00F12DDF" w:rsidRPr="00A9567B" w:rsidRDefault="00F12DDF" w:rsidP="00F12DDF">
      <w:pPr>
        <w:widowControl w:val="0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Обособленное подразделение Шахта № 12, участок «Северный 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Маганак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». </w:t>
      </w:r>
      <w:r w:rsid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</w:t>
      </w: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(АО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Стройсервис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») ведет добычу на участке открытых горных работ. 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По данным предприятий за 2024 год: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 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ЭнергиЯ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-НК» добыча угля выросла на 80,2 % по сравнению с 2023 годом и составила 66,5 тыс. тонн.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 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Энергоснаб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 добыча угля прекращена, с начала года всего добыто </w:t>
      </w:r>
      <w:r w:rsid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</w:t>
      </w: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6,5 тыс. тонн.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Добыча угля на АО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Прокопьевский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угольный разрез» сократилась на 8,5 % по сравнению с 2023 годом и составила 1421,6 тыс. тонн. 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Стабильно работает ОП «Шахта № 12» - «Северный 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Маганак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», добыча угля на территории города составила 2740 тыс. тонн или на 10,4 % больше, чем за 2023 год.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Переработку угля в городе производят: ООО «ОФ «</w:t>
      </w:r>
      <w:proofErr w:type="spellStart"/>
      <w:proofErr w:type="gram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Прокопьевскуголь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 </w:t>
      </w:r>
      <w:r w:rsid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</w:t>
      </w:r>
      <w:proofErr w:type="gramEnd"/>
      <w:r w:rsid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</w:t>
      </w: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МелТЭК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»); ООО «ОФ «Коксовая» (Холдинг АО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ТопПром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»). </w:t>
      </w:r>
      <w:r w:rsid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</w:t>
      </w: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ООО «ГОФ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Прокопьевская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 - в отношении предприятия открыто конкурсное производство. С апреля 2024 года у предприятия новый собственник А.Н. 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Краморов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образовано новое юридическое лицо ООО ЦОФ "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Краморовская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". ООО «ГОФ «Красногорская» - определением суда от 4 декабря 2023 года введена процедура банкротства - наблюдение. В 2024 году у фабрики новый собственник ООО "Участок "Коксовый", который приступил к реализации проекта по развитию участка погрузки рядового угля и концентрата. В настоящее время проводится организация комплекса погрузки. Оборудование бывшей фабрики морально устарело и не соответствует современным экологическим нормам. Дальнейшие перспективы развития предполагают строительство на базе этой площадки современных обогатительных мощностей. </w:t>
      </w:r>
    </w:p>
    <w:p w:rsidR="00F12DDF" w:rsidRPr="00A9567B" w:rsidRDefault="00F12DDF" w:rsidP="00334FC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За 2024 год по данным 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Кемеровостата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производство угля каменного и бурого обогащенного в городе составило 72,1 % к соответствующему периоду прошлого года. 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По обрабатывающим производствам</w:t>
      </w:r>
      <w:r w:rsidRPr="00A9567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объем отгруженных товаров вырос </w:t>
      </w:r>
      <w:r w:rsidR="00A9567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                          </w:t>
      </w:r>
      <w:r w:rsidRPr="00A9567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на 42,9 % к 2023 году и составил </w:t>
      </w:r>
      <w:r w:rsidRPr="00A956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16793,1 млн. руб.</w:t>
      </w:r>
      <w:r w:rsidRPr="00A9567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Рост объема  отгруженной продукции произошел по видам деятельности: производство готовых металлических изделий, кроме машин, оборудования, оружия и боеприпасов (рост </w:t>
      </w:r>
      <w:r w:rsidR="00A9567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                                                  </w:t>
      </w:r>
      <w:r w:rsidRPr="00A9567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за 2024 год - 113,1%); производство одежды (рост за 2024 год - 134,6%). Доля обрабатывающих производств в структуре промышленности за 2024 год составила 52,5% (за 2023 год - 41,9 %). </w:t>
      </w:r>
    </w:p>
    <w:p w:rsidR="00F12DDF" w:rsidRPr="003928AF" w:rsidRDefault="00F12DDF" w:rsidP="003928AF">
      <w:pPr>
        <w:widowControl w:val="0"/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3928AF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Объем отгруженных товаров</w:t>
      </w:r>
      <w:r w:rsidRPr="003928A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 xml:space="preserve"> по обрабатывающим производствам</w:t>
      </w:r>
    </w:p>
    <w:tbl>
      <w:tblPr>
        <w:tblW w:w="10439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6"/>
        <w:gridCol w:w="1276"/>
        <w:gridCol w:w="1134"/>
        <w:gridCol w:w="1134"/>
        <w:gridCol w:w="1559"/>
      </w:tblGrid>
      <w:tr w:rsidR="00F12DDF" w:rsidRPr="00F12DDF" w:rsidTr="003928AF">
        <w:trPr>
          <w:trHeight w:val="519"/>
          <w:tblHeader/>
        </w:trPr>
        <w:tc>
          <w:tcPr>
            <w:tcW w:w="53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Виды экономической деятельности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F12DDF" w:rsidRPr="003928AF" w:rsidRDefault="00F12DDF" w:rsidP="006322A0">
            <w:pPr>
              <w:widowControl w:val="0"/>
              <w:spacing w:after="0" w:line="240" w:lineRule="auto"/>
              <w:ind w:left="-105" w:right="-105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Объем отгруженных товаров, выполненных работ, услуг, </w:t>
            </w:r>
            <w:proofErr w:type="spellStart"/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млн.руб</w:t>
            </w:r>
            <w:proofErr w:type="spellEnd"/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F12DDF" w:rsidRPr="003928AF" w:rsidRDefault="00F12DDF" w:rsidP="006322A0">
            <w:pPr>
              <w:widowControl w:val="0"/>
              <w:spacing w:after="0" w:line="240" w:lineRule="auto"/>
              <w:ind w:left="-112" w:right="-107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Индекс производства</w:t>
            </w:r>
          </w:p>
        </w:tc>
      </w:tr>
      <w:tr w:rsidR="00F12DDF" w:rsidRPr="00F12DDF" w:rsidTr="003928AF">
        <w:trPr>
          <w:trHeight w:val="278"/>
          <w:tblHeader/>
        </w:trPr>
        <w:tc>
          <w:tcPr>
            <w:tcW w:w="53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F12DDF" w:rsidRPr="003928AF" w:rsidRDefault="00F12DDF" w:rsidP="006322A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vAlign w:val="center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%</w:t>
            </w:r>
          </w:p>
        </w:tc>
      </w:tr>
      <w:tr w:rsidR="00F12DDF" w:rsidRPr="00F12DDF" w:rsidTr="003928AF">
        <w:trPr>
          <w:trHeight w:val="305"/>
        </w:trPr>
        <w:tc>
          <w:tcPr>
            <w:tcW w:w="5336" w:type="dxa"/>
            <w:shd w:val="clear" w:color="auto" w:fill="auto"/>
          </w:tcPr>
          <w:p w:rsidR="00F12DDF" w:rsidRPr="003928AF" w:rsidRDefault="00F12DDF" w:rsidP="006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shd w:val="clear" w:color="auto" w:fill="auto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  <w:t>11750,7</w:t>
            </w:r>
          </w:p>
        </w:tc>
        <w:tc>
          <w:tcPr>
            <w:tcW w:w="1134" w:type="dxa"/>
            <w:shd w:val="clear" w:color="auto" w:fill="auto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  <w:t>16793,1</w:t>
            </w:r>
          </w:p>
        </w:tc>
        <w:tc>
          <w:tcPr>
            <w:tcW w:w="1134" w:type="dxa"/>
            <w:shd w:val="clear" w:color="auto" w:fill="auto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  <w:t>142,9</w:t>
            </w:r>
          </w:p>
        </w:tc>
        <w:tc>
          <w:tcPr>
            <w:tcW w:w="1559" w:type="dxa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  <w:t>90,6</w:t>
            </w:r>
          </w:p>
        </w:tc>
      </w:tr>
      <w:tr w:rsidR="00F12DDF" w:rsidRPr="00F12DDF" w:rsidTr="003928AF">
        <w:trPr>
          <w:trHeight w:val="241"/>
        </w:trPr>
        <w:tc>
          <w:tcPr>
            <w:tcW w:w="5336" w:type="dxa"/>
            <w:shd w:val="clear" w:color="auto" w:fill="auto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т.ч. на крупных и средних предприятиях</w:t>
            </w:r>
          </w:p>
        </w:tc>
        <w:tc>
          <w:tcPr>
            <w:tcW w:w="1276" w:type="dxa"/>
            <w:shd w:val="clear" w:color="auto" w:fill="auto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  <w:t>4234,7</w:t>
            </w:r>
          </w:p>
        </w:tc>
        <w:tc>
          <w:tcPr>
            <w:tcW w:w="1134" w:type="dxa"/>
            <w:shd w:val="clear" w:color="auto" w:fill="auto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  <w:t>6853,9</w:t>
            </w:r>
          </w:p>
        </w:tc>
        <w:tc>
          <w:tcPr>
            <w:tcW w:w="1134" w:type="dxa"/>
            <w:shd w:val="clear" w:color="auto" w:fill="auto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  <w:t>161,9</w:t>
            </w:r>
          </w:p>
        </w:tc>
        <w:tc>
          <w:tcPr>
            <w:tcW w:w="1559" w:type="dxa"/>
          </w:tcPr>
          <w:p w:rsidR="00F12DDF" w:rsidRPr="003928AF" w:rsidRDefault="00F12DDF" w:rsidP="006322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b/>
                <w:kern w:val="1"/>
                <w:sz w:val="26"/>
                <w:szCs w:val="26"/>
                <w:lang w:eastAsia="ru-RU"/>
              </w:rPr>
              <w:t>-</w:t>
            </w:r>
          </w:p>
        </w:tc>
      </w:tr>
      <w:tr w:rsidR="00F12DDF" w:rsidRPr="00F12DDF" w:rsidTr="003928AF">
        <w:trPr>
          <w:trHeight w:val="216"/>
        </w:trPr>
        <w:tc>
          <w:tcPr>
            <w:tcW w:w="5336" w:type="dxa"/>
          </w:tcPr>
          <w:p w:rsidR="00F12DDF" w:rsidRPr="003928AF" w:rsidRDefault="00F12DDF" w:rsidP="006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производство пищевых продуктов</w:t>
            </w:r>
          </w:p>
        </w:tc>
        <w:tc>
          <w:tcPr>
            <w:tcW w:w="1276" w:type="dxa"/>
          </w:tcPr>
          <w:p w:rsidR="00F12DDF" w:rsidRPr="003928AF" w:rsidRDefault="00F12DDF" w:rsidP="006322A0">
            <w:pPr>
              <w:widowControl w:val="0"/>
              <w:tabs>
                <w:tab w:val="left" w:pos="89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123,2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3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145,4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118,1</w:t>
            </w:r>
          </w:p>
        </w:tc>
        <w:tc>
          <w:tcPr>
            <w:tcW w:w="1559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54,1</w:t>
            </w:r>
          </w:p>
        </w:tc>
      </w:tr>
      <w:tr w:rsidR="00F12DDF" w:rsidRPr="00F12DDF" w:rsidTr="003928AF">
        <w:trPr>
          <w:trHeight w:val="293"/>
        </w:trPr>
        <w:tc>
          <w:tcPr>
            <w:tcW w:w="5336" w:type="dxa"/>
          </w:tcPr>
          <w:p w:rsidR="00F12DDF" w:rsidRPr="003928AF" w:rsidRDefault="00F12DDF" w:rsidP="006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производство одежды</w:t>
            </w:r>
          </w:p>
        </w:tc>
        <w:tc>
          <w:tcPr>
            <w:tcW w:w="1276" w:type="dxa"/>
          </w:tcPr>
          <w:p w:rsidR="00F12DDF" w:rsidRPr="003928AF" w:rsidRDefault="00F12DDF" w:rsidP="006322A0">
            <w:pPr>
              <w:widowControl w:val="0"/>
              <w:tabs>
                <w:tab w:val="left" w:pos="89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3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134,6</w:t>
            </w:r>
          </w:p>
        </w:tc>
        <w:tc>
          <w:tcPr>
            <w:tcW w:w="1559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83,8</w:t>
            </w:r>
          </w:p>
        </w:tc>
      </w:tr>
      <w:tr w:rsidR="00F12DDF" w:rsidRPr="00F12DDF" w:rsidTr="003928AF">
        <w:trPr>
          <w:trHeight w:val="240"/>
        </w:trPr>
        <w:tc>
          <w:tcPr>
            <w:tcW w:w="5336" w:type="dxa"/>
          </w:tcPr>
          <w:p w:rsidR="00F12DDF" w:rsidRPr="003928AF" w:rsidRDefault="00F12DDF" w:rsidP="006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1276" w:type="dxa"/>
          </w:tcPr>
          <w:p w:rsidR="00F12DDF" w:rsidRPr="003928AF" w:rsidRDefault="00F12DDF" w:rsidP="006322A0">
            <w:pPr>
              <w:widowControl w:val="0"/>
              <w:tabs>
                <w:tab w:val="left" w:pos="89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3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349,6</w:t>
            </w:r>
          </w:p>
        </w:tc>
        <w:tc>
          <w:tcPr>
            <w:tcW w:w="1559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2,4 р.</w:t>
            </w:r>
          </w:p>
        </w:tc>
      </w:tr>
      <w:tr w:rsidR="00F12DDF" w:rsidRPr="00F12DDF" w:rsidTr="003928AF">
        <w:trPr>
          <w:trHeight w:val="360"/>
        </w:trPr>
        <w:tc>
          <w:tcPr>
            <w:tcW w:w="5336" w:type="dxa"/>
          </w:tcPr>
          <w:p w:rsidR="00F12DDF" w:rsidRPr="003928AF" w:rsidRDefault="00F12DDF" w:rsidP="006322A0">
            <w:pPr>
              <w:widowControl w:val="0"/>
              <w:spacing w:after="0" w:line="240" w:lineRule="auto"/>
              <w:ind w:left="-16" w:right="-112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производство готовых металлических изделий, кроме машин и оборудования, оружия и боеприпасов</w:t>
            </w:r>
          </w:p>
        </w:tc>
        <w:tc>
          <w:tcPr>
            <w:tcW w:w="1276" w:type="dxa"/>
          </w:tcPr>
          <w:p w:rsidR="00F12DDF" w:rsidRPr="003928AF" w:rsidRDefault="00F12DDF" w:rsidP="006322A0">
            <w:pPr>
              <w:widowControl w:val="0"/>
              <w:tabs>
                <w:tab w:val="left" w:pos="89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3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113,1</w:t>
            </w:r>
          </w:p>
        </w:tc>
        <w:tc>
          <w:tcPr>
            <w:tcW w:w="1559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92,9</w:t>
            </w:r>
          </w:p>
        </w:tc>
      </w:tr>
      <w:tr w:rsidR="00F12DDF" w:rsidRPr="00F12DDF" w:rsidTr="003928AF">
        <w:tc>
          <w:tcPr>
            <w:tcW w:w="5336" w:type="dxa"/>
          </w:tcPr>
          <w:p w:rsidR="00F12DDF" w:rsidRPr="003928AF" w:rsidRDefault="00F12DDF" w:rsidP="006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1276" w:type="dxa"/>
          </w:tcPr>
          <w:p w:rsidR="00F12DDF" w:rsidRPr="003928AF" w:rsidRDefault="00F12DDF" w:rsidP="006322A0">
            <w:pPr>
              <w:widowControl w:val="0"/>
              <w:tabs>
                <w:tab w:val="left" w:pos="89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3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95,1</w:t>
            </w:r>
          </w:p>
        </w:tc>
        <w:tc>
          <w:tcPr>
            <w:tcW w:w="1559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80,7</w:t>
            </w:r>
          </w:p>
        </w:tc>
      </w:tr>
      <w:tr w:rsidR="00F12DDF" w:rsidRPr="00F12DDF" w:rsidTr="003928AF">
        <w:trPr>
          <w:trHeight w:val="345"/>
        </w:trPr>
        <w:tc>
          <w:tcPr>
            <w:tcW w:w="5336" w:type="dxa"/>
          </w:tcPr>
          <w:p w:rsidR="00F12DDF" w:rsidRPr="003928AF" w:rsidRDefault="00F12DDF" w:rsidP="006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276" w:type="dxa"/>
          </w:tcPr>
          <w:p w:rsidR="00F12DDF" w:rsidRPr="003928AF" w:rsidRDefault="00F12DDF" w:rsidP="006322A0">
            <w:pPr>
              <w:widowControl w:val="0"/>
              <w:tabs>
                <w:tab w:val="left" w:pos="89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3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99,2</w:t>
            </w:r>
          </w:p>
        </w:tc>
        <w:tc>
          <w:tcPr>
            <w:tcW w:w="1559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100,1</w:t>
            </w:r>
          </w:p>
        </w:tc>
      </w:tr>
      <w:tr w:rsidR="00F12DDF" w:rsidRPr="00F12DDF" w:rsidTr="003928AF">
        <w:trPr>
          <w:trHeight w:val="269"/>
        </w:trPr>
        <w:tc>
          <w:tcPr>
            <w:tcW w:w="5336" w:type="dxa"/>
          </w:tcPr>
          <w:p w:rsidR="00F12DDF" w:rsidRPr="003928AF" w:rsidRDefault="00F12DDF" w:rsidP="006322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ремонт и монтаж машин и оборудования</w:t>
            </w:r>
          </w:p>
        </w:tc>
        <w:tc>
          <w:tcPr>
            <w:tcW w:w="1276" w:type="dxa"/>
          </w:tcPr>
          <w:p w:rsidR="00F12DDF" w:rsidRPr="003928AF" w:rsidRDefault="00F12DDF" w:rsidP="006322A0">
            <w:pPr>
              <w:widowControl w:val="0"/>
              <w:tabs>
                <w:tab w:val="left" w:pos="89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417,6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38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555,0</w:t>
            </w:r>
          </w:p>
        </w:tc>
        <w:tc>
          <w:tcPr>
            <w:tcW w:w="1134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132,9</w:t>
            </w:r>
          </w:p>
        </w:tc>
        <w:tc>
          <w:tcPr>
            <w:tcW w:w="1559" w:type="dxa"/>
          </w:tcPr>
          <w:p w:rsidR="00F12DDF" w:rsidRPr="003928AF" w:rsidRDefault="00F12DDF" w:rsidP="006322A0">
            <w:pPr>
              <w:widowControl w:val="0"/>
              <w:tabs>
                <w:tab w:val="left" w:pos="904"/>
                <w:tab w:val="left" w:pos="10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3928A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113,6</w:t>
            </w:r>
          </w:p>
        </w:tc>
      </w:tr>
    </w:tbl>
    <w:p w:rsidR="00F12DDF" w:rsidRPr="00A9567B" w:rsidRDefault="00F12DDF" w:rsidP="00A9567B">
      <w:pPr>
        <w:widowControl w:val="0"/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Наибольший удельный вес среди обрабатывающих производств занимает производство продукции машиностроения. Продукцию машиностроения выпускают предприятия, осуществляющие следующие виды экономической деятельности: производство готовых металлических изделий, кроме машин, оборудования, оружия и боеприпасов; производство электрического оборудования; производство прочих транспортных средств и оборудования, кроме военных боевых машин; ремонт и монтаж машин и оборудования. 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Наиболее крупные предприятия машиностроения:  ООО КВРП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Новотранс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»,  ООО «Завод взрывозащищенного и общепромышленного оборудования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Горэкс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Светотехника», ООО «ТК «Кузбасс Групп», 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Электропром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», ООО «Ремонтно-механический завод», ООО "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Металло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-Механический Завод", 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ТехноЭко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»; </w:t>
      </w:r>
      <w:r w:rsid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</w:t>
      </w: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Трансинтермаш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 и др. 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Кроме того, в обрабатывающих производствах осуществляют </w:t>
      </w:r>
      <w:proofErr w:type="gram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деятельность: </w:t>
      </w:r>
      <w:r w:rsid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</w:t>
      </w:r>
      <w:proofErr w:type="gramEnd"/>
      <w:r w:rsid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</w:t>
      </w:r>
      <w:r w:rsidRPr="00A9567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ООО «Азот Майнинг»</w:t>
      </w: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- производство компонентов эмульсионных экологически чистых промышленных взрывчатых веществ, </w:t>
      </w:r>
      <w:r w:rsidRPr="00A9567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ООО «Взрыв ресурс»</w:t>
      </w: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- производство и подготовка компонентов промышленных эмульсионных и гранулированных взрывчатых веществ. </w:t>
      </w:r>
    </w:p>
    <w:p w:rsidR="00F12DDF" w:rsidRPr="00A9567B" w:rsidRDefault="00F12DDF" w:rsidP="00F12DDF">
      <w:pPr>
        <w:widowControl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ООО КВРП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Новотранс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» резидент ТОР. Основной вид деятельности – ремонт грузовых вагонов, капитальный ремонт колесных пар. За 2024</w:t>
      </w:r>
      <w:r w:rsidRPr="00A9567B">
        <w:rPr>
          <w:rFonts w:ascii="Times New Roman" w:eastAsia="Times New Roman" w:hAnsi="Times New Roman" w:cs="Times New Roman"/>
          <w:color w:val="333333"/>
          <w:kern w:val="1"/>
          <w:sz w:val="28"/>
          <w:szCs w:val="28"/>
          <w:lang w:eastAsia="ru-RU"/>
        </w:rPr>
        <w:t xml:space="preserve"> год объем выручки от продажи товаров, услуг составил 7898,7млн. руб. (рост на 7,1 % к 2023 году), с начала года создано 96 новых рабочих места, численность на предприятии - 1249 человек.</w:t>
      </w:r>
    </w:p>
    <w:p w:rsidR="00F12DDF" w:rsidRPr="00A9567B" w:rsidRDefault="00F12DDF" w:rsidP="009E7B3B">
      <w:pPr>
        <w:widowControl w:val="0"/>
        <w:spacing w:after="240" w:line="276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67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A9567B">
        <w:rPr>
          <w:rFonts w:ascii="Times New Roman" w:eastAsia="Times New Roman" w:hAnsi="Times New Roman" w:cs="Times New Roman"/>
          <w:sz w:val="28"/>
          <w:szCs w:val="28"/>
        </w:rPr>
        <w:t>Горэкс</w:t>
      </w:r>
      <w:proofErr w:type="spellEnd"/>
      <w:r w:rsidRPr="00A9567B">
        <w:rPr>
          <w:rFonts w:ascii="Times New Roman" w:eastAsia="Times New Roman" w:hAnsi="Times New Roman" w:cs="Times New Roman"/>
          <w:sz w:val="28"/>
          <w:szCs w:val="28"/>
        </w:rPr>
        <w:t xml:space="preserve">-Светотехника» выпускает: светильники и фонари переносные электрические; уличные светильники; электрическую, распределительную и регулирующую аппаратуру и др. Предприятие успешно внедряет технологии бережливого производства и реализует мероприятия федерального проекта «Производительность труда». За свои достижения предприятие удостоено высокой награды, что подчеркивает эффективность выбранного курса на оптимизацию производственных процессов. Награждение прошло накануне в </w:t>
      </w:r>
      <w:proofErr w:type="spellStart"/>
      <w:r w:rsidRPr="00A9567B">
        <w:rPr>
          <w:rFonts w:ascii="Times New Roman" w:eastAsia="Times New Roman" w:hAnsi="Times New Roman" w:cs="Times New Roman"/>
          <w:sz w:val="28"/>
          <w:szCs w:val="28"/>
        </w:rPr>
        <w:t>Кемерове</w:t>
      </w:r>
      <w:proofErr w:type="spellEnd"/>
      <w:r w:rsidRPr="00A9567B">
        <w:rPr>
          <w:rFonts w:ascii="Times New Roman" w:eastAsia="Times New Roman" w:hAnsi="Times New Roman" w:cs="Times New Roman"/>
          <w:sz w:val="28"/>
          <w:szCs w:val="28"/>
        </w:rPr>
        <w:t xml:space="preserve"> в рамках совещания «Итоги реализации национального проекта «Производительность труда» в Кузбассе в 2019-2024 годах». Предприятие присоединилось к проекту только год назад, но он уже демонстрирует высокую динамику и эффективность внедрения бережливых технологий. В основе проекта лежат четкие цели: снижение времени протекания процесса, снижение объемов незавершенного производства (запасов) и увеличение выработки продукции.</w:t>
      </w:r>
    </w:p>
    <w:p w:rsidR="00F12DDF" w:rsidRPr="00A9567B" w:rsidRDefault="00F12DDF" w:rsidP="00334FCF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Обеспечение электрической энергией, газом и паром; кондиционирование воздуха.</w:t>
      </w:r>
    </w:p>
    <w:p w:rsidR="00F12DDF" w:rsidRPr="00A9567B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За 2024 год объем выполненных работ и услуг собственными силами по обеспечению электрической энергией, газом и паром; кондиционированию воздуха по полному кругу предприятий города по данным 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Кемеровостата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вырос на 11 % к 2023 году и составил 5724,4 млн. руб., при этом индекс производства составил 99,1 %</w:t>
      </w:r>
    </w:p>
    <w:p w:rsidR="00F12DDF" w:rsidRPr="00A9567B" w:rsidRDefault="00F12DDF" w:rsidP="00F12DDF">
      <w:pPr>
        <w:widowControl w:val="0"/>
        <w:spacing w:after="24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рамках муниципальной программы «Энергосбережение и повышение энергетической эффективности на территории 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Прокопьевского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городского округа Кемеровской области - Кузбасса», реализуются мероприятия по экономии энергоресурсов с применением энергосберегающих и 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теплосберегающих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технологий. Доля этого вида экономической деятельности в общем объеме промышленности за 2024 год составила 17,9% (за 2023 -18,4%).</w:t>
      </w:r>
    </w:p>
    <w:p w:rsidR="00F12DDF" w:rsidRPr="00A9567B" w:rsidRDefault="00F12DDF" w:rsidP="00334F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Водоснабжение; Водоотведение, организация сбора и утилизация отходов, деятельность по ликвидации загрязнений.</w:t>
      </w:r>
    </w:p>
    <w:p w:rsidR="00F12DDF" w:rsidRPr="00A51ECC" w:rsidRDefault="00F12DDF" w:rsidP="00F12DDF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Основные предприятия: АО «Производственное объединение Водоканал», Территориально обособленное структурное подразделение 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ВторМет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 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г.Прокопьевск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, ООО «</w:t>
      </w:r>
      <w:proofErr w:type="spellStart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Э</w:t>
      </w:r>
      <w:r w:rsidR="006A4DA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коТэк</w:t>
      </w:r>
      <w:proofErr w:type="spellEnd"/>
      <w:r w:rsidRPr="00A9567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» и др. За 2024 год объем выполненных работ и услуг </w:t>
      </w:r>
      <w:r w:rsidRPr="00A51EC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собственными силами по водоснабжению, водоотведению, организации сбора и утилизации отходов, деятельности по ликвидации загрязнений по полному кругу организаций города по данным </w:t>
      </w:r>
      <w:proofErr w:type="spellStart"/>
      <w:r w:rsidRPr="00A51EC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Кемеровостата</w:t>
      </w:r>
      <w:proofErr w:type="spellEnd"/>
      <w:r w:rsidRPr="00A51EC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вырос на 6,3 % к 2023 году и составил 935,3 млн. руб., при этом индекс производства составил 96,6 %. </w:t>
      </w:r>
    </w:p>
    <w:p w:rsidR="003928AF" w:rsidRPr="00A51ECC" w:rsidRDefault="00F12DDF" w:rsidP="00334FCF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A51ECC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Доля этого вида экономической деятельности в общем объеме промышленности за 2024 год составила 2,9 % (3,1 % - за 2023 год).</w:t>
      </w:r>
    </w:p>
    <w:p w:rsidR="003928AF" w:rsidRPr="003928AF" w:rsidRDefault="003928AF" w:rsidP="00334FC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F12DDF">
        <w:rPr>
          <w:rFonts w:ascii="Times New Roman" w:eastAsia="Times New Roman" w:hAnsi="Times New Roman" w:cs="Times New Roman"/>
          <w:noProof/>
          <w:kern w:val="1"/>
          <w:sz w:val="26"/>
          <w:szCs w:val="26"/>
          <w:highlight w:val="yellow"/>
          <w:lang w:eastAsia="ru-RU"/>
        </w:rPr>
        <w:drawing>
          <wp:anchor distT="48768" distB="57531" distL="175260" distR="588264" simplePos="0" relativeHeight="251658240" behindDoc="0" locked="0" layoutInCell="1" allowOverlap="1" wp14:anchorId="5A72984A" wp14:editId="79492EDD">
            <wp:simplePos x="0" y="0"/>
            <wp:positionH relativeFrom="column">
              <wp:posOffset>88265</wp:posOffset>
            </wp:positionH>
            <wp:positionV relativeFrom="paragraph">
              <wp:posOffset>599440</wp:posOffset>
            </wp:positionV>
            <wp:extent cx="6631305" cy="2162175"/>
            <wp:effectExtent l="0" t="0" r="17145" b="9525"/>
            <wp:wrapTopAndBottom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28A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Структура отгруженных товаров, выполненных работ и услуг в промышленности по полному кругу организаций за 202</w:t>
      </w:r>
      <w:r w:rsidR="006A4DA9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4</w:t>
      </w:r>
      <w:r w:rsidRPr="003928AF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 xml:space="preserve"> год</w:t>
      </w:r>
    </w:p>
    <w:p w:rsidR="00A51ECC" w:rsidRDefault="00A51ECC" w:rsidP="00334FCF">
      <w:pPr>
        <w:pStyle w:val="a7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26841110"/>
    </w:p>
    <w:p w:rsidR="00112E48" w:rsidRPr="003928AF" w:rsidRDefault="00112E48" w:rsidP="00334FCF">
      <w:pPr>
        <w:pStyle w:val="a7"/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8AF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bookmarkEnd w:id="2"/>
    <w:p w:rsidR="0034484A" w:rsidRPr="003928AF" w:rsidRDefault="0034484A" w:rsidP="0037385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8AF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за счет всех источников финансирования за 2024 год по данным </w:t>
      </w:r>
      <w:proofErr w:type="spellStart"/>
      <w:r w:rsidRPr="003928AF">
        <w:rPr>
          <w:rFonts w:ascii="Times New Roman" w:hAnsi="Times New Roman" w:cs="Times New Roman"/>
          <w:sz w:val="28"/>
          <w:szCs w:val="28"/>
        </w:rPr>
        <w:t>Кемеровостат</w:t>
      </w:r>
      <w:proofErr w:type="spellEnd"/>
      <w:r w:rsidRPr="003928AF">
        <w:rPr>
          <w:rFonts w:ascii="Times New Roman" w:hAnsi="Times New Roman" w:cs="Times New Roman"/>
          <w:sz w:val="28"/>
          <w:szCs w:val="28"/>
        </w:rPr>
        <w:t xml:space="preserve"> составил 6 411 млн. руб., к 2023 году 122,3%. По крупным и средним организациям объем инвестиций составил 5 536 млн. руб., это 146,6% к соответствующему периоду 2023 года.</w:t>
      </w:r>
    </w:p>
    <w:p w:rsidR="0034484A" w:rsidRPr="003928AF" w:rsidRDefault="0034484A" w:rsidP="00373857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8AF">
        <w:rPr>
          <w:rFonts w:ascii="Times New Roman" w:hAnsi="Times New Roman" w:cs="Times New Roman"/>
          <w:sz w:val="28"/>
          <w:szCs w:val="28"/>
        </w:rPr>
        <w:t>По источникам финансирования собственные средства занимают 56%, привлечённые – 44%, в том числе: бюджетные средства – 76,4%.</w:t>
      </w:r>
    </w:p>
    <w:p w:rsidR="0034484A" w:rsidRPr="003928AF" w:rsidRDefault="0034484A" w:rsidP="0034484A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8AF">
        <w:rPr>
          <w:rFonts w:ascii="Times New Roman" w:hAnsi="Times New Roman" w:cs="Times New Roman"/>
          <w:sz w:val="28"/>
          <w:szCs w:val="28"/>
        </w:rPr>
        <w:t xml:space="preserve">Практически по всем видам деятельности наблюдается значительный рост объема инвестиций: в 2 и более раз возросли объемы инвестиций в организациях строительства, здравоохранения, культуры и спорта. </w:t>
      </w:r>
    </w:p>
    <w:p w:rsidR="0034484A" w:rsidRPr="003928AF" w:rsidRDefault="0034484A" w:rsidP="00334FCF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8AF">
        <w:rPr>
          <w:rFonts w:ascii="Times New Roman" w:hAnsi="Times New Roman" w:cs="Times New Roman"/>
          <w:b/>
          <w:bCs/>
          <w:sz w:val="28"/>
          <w:szCs w:val="28"/>
        </w:rPr>
        <w:t>Объем инвестиции в основной капитал за 202</w:t>
      </w:r>
      <w:r w:rsidR="002B2A4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928AF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2B2A4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928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928AF">
        <w:rPr>
          <w:rFonts w:ascii="Times New Roman" w:hAnsi="Times New Roman" w:cs="Times New Roman"/>
          <w:b/>
          <w:bCs/>
          <w:sz w:val="28"/>
          <w:szCs w:val="28"/>
        </w:rPr>
        <w:t>гг</w:t>
      </w:r>
      <w:proofErr w:type="spellEnd"/>
      <w:r w:rsidRPr="003928A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gramStart"/>
      <w:r w:rsidRPr="003928AF">
        <w:rPr>
          <w:rFonts w:ascii="Times New Roman" w:hAnsi="Times New Roman" w:cs="Times New Roman"/>
          <w:b/>
          <w:bCs/>
          <w:sz w:val="28"/>
          <w:szCs w:val="28"/>
        </w:rPr>
        <w:t>млн</w:t>
      </w:r>
      <w:r w:rsidR="00AB6B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28AF">
        <w:rPr>
          <w:rFonts w:ascii="Times New Roman" w:hAnsi="Times New Roman" w:cs="Times New Roman"/>
          <w:b/>
          <w:bCs/>
          <w:sz w:val="28"/>
          <w:szCs w:val="28"/>
        </w:rPr>
        <w:t>.рублей</w:t>
      </w:r>
      <w:proofErr w:type="gramEnd"/>
    </w:p>
    <w:tbl>
      <w:tblPr>
        <w:tblStyle w:val="-211"/>
        <w:tblpPr w:leftFromText="180" w:rightFromText="180" w:vertAnchor="text" w:horzAnchor="margin" w:tblpY="1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7"/>
        <w:gridCol w:w="1016"/>
        <w:gridCol w:w="931"/>
        <w:gridCol w:w="1078"/>
        <w:gridCol w:w="1444"/>
      </w:tblGrid>
      <w:tr w:rsidR="0034484A" w:rsidRPr="00D31F8A" w:rsidTr="00AB6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484A" w:rsidRPr="00D31F8A" w:rsidRDefault="0034484A" w:rsidP="000F642E">
            <w:pPr>
              <w:spacing w:line="276" w:lineRule="auto"/>
              <w:jc w:val="both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Наименование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4484A" w:rsidRPr="00D31F8A" w:rsidRDefault="0034484A" w:rsidP="000F642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2023 год</w:t>
            </w:r>
          </w:p>
        </w:tc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4484A" w:rsidRPr="00D31F8A" w:rsidRDefault="0034484A" w:rsidP="000F642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2024 год</w:t>
            </w:r>
          </w:p>
        </w:tc>
        <w:tc>
          <w:tcPr>
            <w:tcW w:w="10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484A" w:rsidRPr="00D31F8A" w:rsidRDefault="0034484A" w:rsidP="00334FCF">
            <w:pPr>
              <w:spacing w:line="276" w:lineRule="auto"/>
              <w:ind w:left="-62" w:right="-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Темп роста, %</w:t>
            </w:r>
          </w:p>
        </w:tc>
        <w:tc>
          <w:tcPr>
            <w:tcW w:w="1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484A" w:rsidRPr="00D31F8A" w:rsidRDefault="0034484A" w:rsidP="000F642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Структура,</w:t>
            </w:r>
          </w:p>
          <w:p w:rsidR="0034484A" w:rsidRPr="00D31F8A" w:rsidRDefault="0034484A" w:rsidP="000F642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%</w:t>
            </w:r>
          </w:p>
        </w:tc>
      </w:tr>
      <w:tr w:rsidR="0034484A" w:rsidRPr="00D31F8A" w:rsidTr="00A51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tcBorders>
              <w:top w:val="double" w:sz="4" w:space="0" w:color="auto"/>
            </w:tcBorders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Инвестиции в основной капитал всего</w:t>
            </w:r>
          </w:p>
        </w:tc>
        <w:tc>
          <w:tcPr>
            <w:tcW w:w="1016" w:type="dxa"/>
            <w:tcBorders>
              <w:top w:val="double" w:sz="4" w:space="0" w:color="auto"/>
            </w:tcBorders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5243,</w:t>
            </w:r>
            <w:r w:rsidRPr="00D31F8A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31" w:type="dxa"/>
            <w:tcBorders>
              <w:top w:val="double" w:sz="4" w:space="0" w:color="auto"/>
            </w:tcBorders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6411,0</w:t>
            </w:r>
          </w:p>
        </w:tc>
        <w:tc>
          <w:tcPr>
            <w:tcW w:w="1078" w:type="dxa"/>
            <w:tcBorders>
              <w:top w:val="double" w:sz="4" w:space="0" w:color="auto"/>
            </w:tcBorders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122,3</w:t>
            </w:r>
          </w:p>
        </w:tc>
        <w:tc>
          <w:tcPr>
            <w:tcW w:w="1444" w:type="dxa"/>
            <w:tcBorders>
              <w:top w:val="double" w:sz="4" w:space="0" w:color="auto"/>
            </w:tcBorders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highlight w:val="yellow"/>
              </w:rPr>
            </w:pPr>
          </w:p>
        </w:tc>
      </w:tr>
      <w:tr w:rsidR="0034484A" w:rsidRPr="00D31F8A" w:rsidTr="00A51ECC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Инвестиции в основной капитал по крупным и средним предприятиям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D31F8A">
              <w:rPr>
                <w:sz w:val="26"/>
                <w:szCs w:val="26"/>
              </w:rPr>
              <w:t>3777,</w:t>
            </w:r>
            <w:r w:rsidRPr="00D31F8A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5536,1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146,6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86,4</w:t>
            </w:r>
          </w:p>
        </w:tc>
      </w:tr>
      <w:tr w:rsidR="0034484A" w:rsidRPr="00D31F8A" w:rsidTr="00A51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Добыча полезных ископаемых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D31F8A">
              <w:rPr>
                <w:sz w:val="26"/>
                <w:szCs w:val="26"/>
              </w:rPr>
              <w:t>559,</w:t>
            </w:r>
            <w:r w:rsidRPr="00D31F8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868,4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155,3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13,5</w:t>
            </w:r>
          </w:p>
        </w:tc>
      </w:tr>
      <w:tr w:rsidR="0034484A" w:rsidRPr="00D31F8A" w:rsidTr="00A51ECC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Обрабатывающие производства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D31F8A">
              <w:rPr>
                <w:sz w:val="26"/>
                <w:szCs w:val="26"/>
              </w:rPr>
              <w:t>566,</w:t>
            </w:r>
            <w:r w:rsidRPr="00D31F8A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625,7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137,9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9,8</w:t>
            </w:r>
          </w:p>
        </w:tc>
      </w:tr>
      <w:tr w:rsidR="0034484A" w:rsidRPr="00D31F8A" w:rsidTr="00A51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Обеспечение эл энергией, газом, паром, кондиционирование воздуха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D31F8A">
              <w:rPr>
                <w:sz w:val="26"/>
                <w:szCs w:val="26"/>
              </w:rPr>
              <w:t>771,</w:t>
            </w:r>
            <w:r w:rsidRPr="00D31F8A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503,6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65,3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7,9</w:t>
            </w:r>
          </w:p>
        </w:tc>
      </w:tr>
      <w:tr w:rsidR="0034484A" w:rsidRPr="00D31F8A" w:rsidTr="00A51EC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Водоснабжение, водоотведение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val="en-US"/>
              </w:rPr>
            </w:pPr>
            <w:r w:rsidRPr="00D31F8A">
              <w:rPr>
                <w:sz w:val="26"/>
                <w:szCs w:val="26"/>
              </w:rPr>
              <w:t>80,</w:t>
            </w:r>
            <w:r w:rsidRPr="00D31F8A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48,5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60,0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0,8</w:t>
            </w:r>
          </w:p>
        </w:tc>
      </w:tr>
      <w:tr w:rsidR="0034484A" w:rsidRPr="00D31F8A" w:rsidTr="00182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Строительство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216,5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1216,8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в 5 р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19,0</w:t>
            </w:r>
          </w:p>
        </w:tc>
      </w:tr>
      <w:tr w:rsidR="0034484A" w:rsidRPr="00D31F8A" w:rsidTr="001823AE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Торговля оптовая, розничная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177,7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264,2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148,7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4,1</w:t>
            </w:r>
          </w:p>
        </w:tc>
      </w:tr>
      <w:tr w:rsidR="0034484A" w:rsidRPr="00D31F8A" w:rsidTr="00182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Транспортировка, хранение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615,8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528,1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109,9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8,2</w:t>
            </w:r>
          </w:p>
        </w:tc>
      </w:tr>
      <w:tr w:rsidR="0034484A" w:rsidRPr="00D31F8A" w:rsidTr="00A51ECC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Деятельность в области информации и связи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7,4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14,2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191,9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0,2</w:t>
            </w:r>
          </w:p>
        </w:tc>
      </w:tr>
      <w:tr w:rsidR="0034484A" w:rsidRPr="00D31F8A" w:rsidTr="00A51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Деятельность профессиональная, научная и техническая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1,0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8,5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в 8 р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0,1</w:t>
            </w:r>
          </w:p>
        </w:tc>
      </w:tr>
      <w:tr w:rsidR="0034484A" w:rsidRPr="00D31F8A" w:rsidTr="00A51EC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Деятельность административная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67,2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319,8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в 5 р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5,0</w:t>
            </w:r>
          </w:p>
        </w:tc>
      </w:tr>
      <w:tr w:rsidR="0034484A" w:rsidRPr="00D31F8A" w:rsidTr="00A51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Государственное управление, обеспечение военной безопасности, социальное обеспечение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68,1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50,9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74,7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0,8</w:t>
            </w:r>
          </w:p>
        </w:tc>
      </w:tr>
      <w:tr w:rsidR="0034484A" w:rsidRPr="00D31F8A" w:rsidTr="00A51ECC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Образование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195,3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423,3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216,7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6,6</w:t>
            </w:r>
          </w:p>
        </w:tc>
      </w:tr>
      <w:tr w:rsidR="0034484A" w:rsidRPr="00D31F8A" w:rsidTr="00A51E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Деятельность в области здравоохранения, социальных услуг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286,3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364,9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127,5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6,6</w:t>
            </w:r>
          </w:p>
        </w:tc>
      </w:tr>
      <w:tr w:rsidR="0034484A" w:rsidRPr="00D31F8A" w:rsidTr="00182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  <w:vAlign w:val="center"/>
          </w:tcPr>
          <w:p w:rsidR="0034484A" w:rsidRPr="00D31F8A" w:rsidRDefault="0034484A" w:rsidP="00373857">
            <w:pPr>
              <w:spacing w:line="276" w:lineRule="auto"/>
              <w:rPr>
                <w:b w:val="0"/>
                <w:bCs w:val="0"/>
                <w:sz w:val="26"/>
                <w:szCs w:val="26"/>
              </w:rPr>
            </w:pPr>
            <w:r w:rsidRPr="00D31F8A">
              <w:rPr>
                <w:b w:val="0"/>
                <w:bCs w:val="0"/>
                <w:sz w:val="26"/>
                <w:szCs w:val="26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16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163,1</w:t>
            </w:r>
          </w:p>
        </w:tc>
        <w:tc>
          <w:tcPr>
            <w:tcW w:w="931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296,2</w:t>
            </w:r>
          </w:p>
        </w:tc>
        <w:tc>
          <w:tcPr>
            <w:tcW w:w="1078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181,6</w:t>
            </w:r>
          </w:p>
        </w:tc>
        <w:tc>
          <w:tcPr>
            <w:tcW w:w="1444" w:type="dxa"/>
            <w:vAlign w:val="center"/>
          </w:tcPr>
          <w:p w:rsidR="0034484A" w:rsidRPr="00D31F8A" w:rsidRDefault="0034484A" w:rsidP="0034484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D31F8A">
              <w:rPr>
                <w:sz w:val="26"/>
                <w:szCs w:val="26"/>
              </w:rPr>
              <w:t>34,1</w:t>
            </w:r>
          </w:p>
        </w:tc>
      </w:tr>
    </w:tbl>
    <w:p w:rsidR="00D31F8A" w:rsidRDefault="00D31F8A" w:rsidP="009E7B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7BE" w:rsidRPr="00D31F8A" w:rsidRDefault="002F07BE" w:rsidP="009E7B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F8A">
        <w:rPr>
          <w:rFonts w:ascii="Times New Roman" w:hAnsi="Times New Roman" w:cs="Times New Roman"/>
          <w:sz w:val="28"/>
          <w:szCs w:val="28"/>
        </w:rPr>
        <w:t>По видам основных фондов 36% инвестиций направлены приобретение машин и оборудования; 16% на строительство сооружений; 15% приобретение транспортных средств.</w:t>
      </w:r>
    </w:p>
    <w:p w:rsidR="001823AE" w:rsidRDefault="002F07BE" w:rsidP="001823AE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F8A">
        <w:rPr>
          <w:rFonts w:ascii="Times New Roman" w:hAnsi="Times New Roman" w:cs="Times New Roman"/>
          <w:sz w:val="28"/>
          <w:szCs w:val="28"/>
        </w:rPr>
        <w:t>Собственные средства инвесторов были направлены на реализацию проектов: ООО «Взрыв Ресурс», ООО «Алексеевский Промышленный комплекс», ООО «</w:t>
      </w:r>
      <w:proofErr w:type="spellStart"/>
      <w:r w:rsidRPr="00D31F8A">
        <w:rPr>
          <w:rFonts w:ascii="Times New Roman" w:hAnsi="Times New Roman" w:cs="Times New Roman"/>
          <w:sz w:val="28"/>
          <w:szCs w:val="28"/>
        </w:rPr>
        <w:t>КузбассГрупп</w:t>
      </w:r>
      <w:proofErr w:type="spellEnd"/>
      <w:r w:rsidRPr="00D31F8A">
        <w:rPr>
          <w:rFonts w:ascii="Times New Roman" w:hAnsi="Times New Roman" w:cs="Times New Roman"/>
          <w:sz w:val="28"/>
          <w:szCs w:val="28"/>
        </w:rPr>
        <w:t>», ООО «ММЗ», ООО «</w:t>
      </w:r>
      <w:proofErr w:type="spellStart"/>
      <w:r w:rsidRPr="00D31F8A">
        <w:rPr>
          <w:rFonts w:ascii="Times New Roman" w:hAnsi="Times New Roman" w:cs="Times New Roman"/>
          <w:sz w:val="28"/>
          <w:szCs w:val="28"/>
        </w:rPr>
        <w:t>Трансинтермаш</w:t>
      </w:r>
      <w:proofErr w:type="spellEnd"/>
      <w:r w:rsidRPr="00D31F8A">
        <w:rPr>
          <w:rFonts w:ascii="Times New Roman" w:hAnsi="Times New Roman" w:cs="Times New Roman"/>
          <w:sz w:val="28"/>
          <w:szCs w:val="28"/>
        </w:rPr>
        <w:t xml:space="preserve">» и др. </w:t>
      </w:r>
    </w:p>
    <w:p w:rsidR="002F07BE" w:rsidRDefault="002F07BE" w:rsidP="001823AE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F8A">
        <w:rPr>
          <w:rFonts w:ascii="Times New Roman" w:hAnsi="Times New Roman" w:cs="Times New Roman"/>
          <w:sz w:val="28"/>
          <w:szCs w:val="28"/>
        </w:rPr>
        <w:t xml:space="preserve">В рамках деятельности территории опережающего развития зарегистрировано </w:t>
      </w:r>
      <w:r w:rsidR="009E7B3B" w:rsidRPr="00D31F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31F8A">
        <w:rPr>
          <w:rFonts w:ascii="Times New Roman" w:hAnsi="Times New Roman" w:cs="Times New Roman"/>
          <w:sz w:val="28"/>
          <w:szCs w:val="28"/>
        </w:rPr>
        <w:t>16 резидентов. В 2024 году ими было вложено инвестиций 222,2 млн. руб. В 2024 году получили статус резидента ТОР «Прокопьевск» предприятия: ООО «</w:t>
      </w:r>
      <w:proofErr w:type="spellStart"/>
      <w:r w:rsidRPr="00D31F8A">
        <w:rPr>
          <w:rFonts w:ascii="Times New Roman" w:hAnsi="Times New Roman" w:cs="Times New Roman"/>
          <w:sz w:val="28"/>
          <w:szCs w:val="28"/>
        </w:rPr>
        <w:t>Седмал</w:t>
      </w:r>
      <w:proofErr w:type="spellEnd"/>
      <w:r w:rsidRPr="00D31F8A">
        <w:rPr>
          <w:rFonts w:ascii="Times New Roman" w:hAnsi="Times New Roman" w:cs="Times New Roman"/>
          <w:sz w:val="28"/>
          <w:szCs w:val="28"/>
        </w:rPr>
        <w:t>» - «Ремонт электродвигателей» (50,41 млн. руб.); ООО «СЗ «СД Новатор» - «Строительство многоэтажных многоквартирных жилых домов с подземной автостоянкой и помещениями общественного назначения по ул. 11-й микрорайон в г. Прокопьевск» (6 245,36 млн. руб.), ООО «Горно-сервисная компания» - «Техническое обслуживание и ремонт карьерной техники» (60,853 млн. руб.)</w:t>
      </w:r>
    </w:p>
    <w:p w:rsidR="00A51ECC" w:rsidRPr="00D31F8A" w:rsidRDefault="00A51ECC" w:rsidP="001823AE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484A" w:rsidRPr="001823AE" w:rsidRDefault="0034484A" w:rsidP="0034484A">
      <w:pPr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3AE">
        <w:rPr>
          <w:rFonts w:ascii="Times New Roman" w:hAnsi="Times New Roman" w:cs="Times New Roman"/>
          <w:b/>
          <w:bCs/>
          <w:sz w:val="28"/>
          <w:szCs w:val="28"/>
        </w:rPr>
        <w:t>Структура объема инвестиций по видам экономической деятельности</w:t>
      </w:r>
    </w:p>
    <w:p w:rsidR="0034484A" w:rsidRDefault="0034484A" w:rsidP="0034484A">
      <w:pPr>
        <w:widowControl w:val="0"/>
        <w:jc w:val="both"/>
      </w:pPr>
      <w:r w:rsidRPr="00F63FB8">
        <w:rPr>
          <w:rFonts w:ascii="Times New Roman" w:hAnsi="Times New Roman" w:cs="Times New Roman"/>
          <w:noProof/>
          <w:sz w:val="26"/>
          <w:szCs w:val="26"/>
          <w:highlight w:val="black"/>
        </w:rPr>
        <w:drawing>
          <wp:inline distT="0" distB="0" distL="0" distR="0" wp14:anchorId="5A360801" wp14:editId="65DDFAB5">
            <wp:extent cx="6660515" cy="2653785"/>
            <wp:effectExtent l="0" t="0" r="6985" b="133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484A" w:rsidRPr="001823AE" w:rsidRDefault="0034484A" w:rsidP="0034484A">
      <w:pPr>
        <w:tabs>
          <w:tab w:val="left" w:pos="204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С целью повышения инвестиционного потенциала и привлечения инвесторов на территорию города Прокопьевска ведет работу Совет по инвестиционной и инновационной деятельности при главе города Прокопьевска, инвестиционный уполномоченный города Прокопьевска. В течение 2024 года проведено 3 заседания Совета, 2 встречи инвестиционного уполномоченного с инвесторами.</w:t>
      </w:r>
    </w:p>
    <w:p w:rsidR="0034484A" w:rsidRPr="001823AE" w:rsidRDefault="0034484A" w:rsidP="0034484A">
      <w:pPr>
        <w:tabs>
          <w:tab w:val="left" w:pos="204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В июне 2024 город Прокопьевск принял участие в 31 Международной выставке «Уголь России, Майнинг» с привлечением промышленных предприятий: ООО «Завод «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Горэкс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>-Светотехника»; ООО «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Трансинтермаш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>» и др.</w:t>
      </w:r>
    </w:p>
    <w:p w:rsidR="0034484A" w:rsidRPr="001823AE" w:rsidRDefault="0034484A" w:rsidP="002F07BE">
      <w:pPr>
        <w:tabs>
          <w:tab w:val="left" w:pos="2040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Сформирован и тиражирован Инвестиционный паспорт, буклетная продукция по ТОР и инвестиционным площадкам. На официальном сайте администрации города Прокопьевска размещена необходимая информация: Инвестиционный паспорт города, реестр инвестиционных площадок, реестр инвестиционных проектов, комплексная программа социально-экономического развития города Прокопьевска, информация о развитии города Прокопьевска по итогам отчетного года и др.</w:t>
      </w:r>
    </w:p>
    <w:p w:rsidR="00063686" w:rsidRPr="001823AE" w:rsidRDefault="00063686" w:rsidP="00EA20F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112E48" w:rsidRPr="001823AE" w:rsidRDefault="00112E48" w:rsidP="006322A0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23AE">
        <w:rPr>
          <w:rFonts w:ascii="Times New Roman" w:hAnsi="Times New Roman" w:cs="Times New Roman"/>
          <w:b/>
          <w:bCs/>
          <w:sz w:val="28"/>
          <w:szCs w:val="28"/>
        </w:rPr>
        <w:t>МАЛЫЙ БИЗНЕС</w:t>
      </w:r>
    </w:p>
    <w:p w:rsidR="00112E48" w:rsidRPr="001823AE" w:rsidRDefault="00112E48" w:rsidP="00FC54B3">
      <w:pPr>
        <w:widowControl w:val="0"/>
        <w:spacing w:after="0" w:line="276" w:lineRule="auto"/>
        <w:ind w:firstLine="555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3" w:name="_Hlk103773755"/>
      <w:bookmarkEnd w:id="3"/>
      <w:r w:rsidRPr="001823AE"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EC0DDE" w:rsidRPr="001823AE">
        <w:rPr>
          <w:rFonts w:ascii="Times New Roman" w:hAnsi="Times New Roman" w:cs="Times New Roman"/>
          <w:sz w:val="28"/>
          <w:szCs w:val="28"/>
        </w:rPr>
        <w:t>5</w:t>
      </w:r>
      <w:r w:rsidRPr="001823AE">
        <w:rPr>
          <w:rFonts w:ascii="Times New Roman" w:hAnsi="Times New Roman" w:cs="Times New Roman"/>
          <w:sz w:val="28"/>
          <w:szCs w:val="28"/>
        </w:rPr>
        <w:t>г.  в городе работают:</w:t>
      </w:r>
    </w:p>
    <w:p w:rsidR="00112E48" w:rsidRPr="001823AE" w:rsidRDefault="00112E48" w:rsidP="001823A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60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3AE">
        <w:rPr>
          <w:rFonts w:ascii="Times New Roman" w:hAnsi="Times New Roman" w:cs="Times New Roman"/>
          <w:color w:val="000000"/>
          <w:sz w:val="28"/>
          <w:szCs w:val="28"/>
        </w:rPr>
        <w:t>1 3</w:t>
      </w:r>
      <w:r w:rsidR="00EC0DDE" w:rsidRPr="001823AE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мал</w:t>
      </w:r>
      <w:r w:rsidR="00EC0DDE" w:rsidRPr="001823AE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</w:t>
      </w:r>
      <w:r w:rsidR="00EC0DDE" w:rsidRPr="001823A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, в сравнении </w:t>
      </w:r>
      <w:r w:rsidR="00EC0DDE" w:rsidRPr="001823AE">
        <w:rPr>
          <w:rFonts w:ascii="Times New Roman" w:hAnsi="Times New Roman" w:cs="Times New Roman"/>
          <w:color w:val="000000"/>
          <w:sz w:val="28"/>
          <w:szCs w:val="28"/>
        </w:rPr>
        <w:t>на 01.01.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EC0DDE" w:rsidRPr="001823A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(1 3</w:t>
      </w:r>
      <w:r w:rsidR="00EC0DDE" w:rsidRPr="001823AE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малых предприяти</w:t>
      </w:r>
      <w:r w:rsidR="00EC0DDE" w:rsidRPr="001823A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) количество предприятий увеличилось на </w:t>
      </w:r>
      <w:r w:rsidR="00EC0DDE" w:rsidRPr="001823AE">
        <w:rPr>
          <w:rFonts w:ascii="Times New Roman" w:hAnsi="Times New Roman" w:cs="Times New Roman"/>
          <w:color w:val="000000"/>
          <w:sz w:val="28"/>
          <w:szCs w:val="28"/>
        </w:rPr>
        <w:t>3,2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525" w:rsidRPr="001823AE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112E48" w:rsidRPr="001823AE" w:rsidRDefault="00EC0DDE" w:rsidP="001823AE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60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23AE">
        <w:rPr>
          <w:rFonts w:ascii="Times New Roman" w:hAnsi="Times New Roman" w:cs="Times New Roman"/>
          <w:color w:val="000000"/>
          <w:sz w:val="28"/>
          <w:szCs w:val="28"/>
        </w:rPr>
        <w:t>3 021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>на 01.01.2024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823A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2 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>771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>, увелич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>составило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23A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112E48" w:rsidRPr="001823AE">
        <w:rPr>
          <w:rFonts w:ascii="Times New Roman" w:hAnsi="Times New Roman" w:cs="Times New Roman"/>
          <w:color w:val="000000"/>
          <w:sz w:val="28"/>
          <w:szCs w:val="28"/>
        </w:rPr>
        <w:t xml:space="preserve"> %.</w:t>
      </w:r>
    </w:p>
    <w:p w:rsidR="00112E48" w:rsidRPr="001823AE" w:rsidRDefault="00112E48" w:rsidP="00FC54B3">
      <w:pPr>
        <w:widowControl w:val="0"/>
        <w:shd w:val="clear" w:color="auto" w:fill="FFFFFF"/>
        <w:spacing w:line="276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Количество самозанятых на 01.01.202</w:t>
      </w:r>
      <w:r w:rsidR="004700DE" w:rsidRPr="001823AE">
        <w:rPr>
          <w:rFonts w:ascii="Times New Roman" w:hAnsi="Times New Roman" w:cs="Times New Roman"/>
          <w:sz w:val="28"/>
          <w:szCs w:val="28"/>
        </w:rPr>
        <w:t>5</w:t>
      </w:r>
      <w:r w:rsidRPr="001823AE">
        <w:rPr>
          <w:rFonts w:ascii="Times New Roman" w:hAnsi="Times New Roman" w:cs="Times New Roman"/>
          <w:sz w:val="28"/>
          <w:szCs w:val="28"/>
        </w:rPr>
        <w:t xml:space="preserve">г. составляет </w:t>
      </w:r>
      <w:r w:rsidR="004700DE" w:rsidRPr="001823AE">
        <w:rPr>
          <w:rFonts w:ascii="Times New Roman" w:hAnsi="Times New Roman" w:cs="Times New Roman"/>
          <w:sz w:val="28"/>
          <w:szCs w:val="28"/>
        </w:rPr>
        <w:t>981</w:t>
      </w:r>
      <w:r w:rsidR="004700DE" w:rsidRPr="002B2A4C">
        <w:rPr>
          <w:rFonts w:ascii="Times New Roman" w:hAnsi="Times New Roman" w:cs="Times New Roman"/>
          <w:sz w:val="28"/>
          <w:szCs w:val="28"/>
        </w:rPr>
        <w:t>2</w:t>
      </w:r>
      <w:r w:rsidRPr="002B2A4C">
        <w:rPr>
          <w:rFonts w:ascii="Times New Roman" w:hAnsi="Times New Roman" w:cs="Times New Roman"/>
          <w:sz w:val="28"/>
          <w:szCs w:val="28"/>
        </w:rPr>
        <w:t xml:space="preserve"> человек (на 01.01.202</w:t>
      </w:r>
      <w:r w:rsidR="004700DE" w:rsidRPr="002B2A4C">
        <w:rPr>
          <w:rFonts w:ascii="Times New Roman" w:hAnsi="Times New Roman" w:cs="Times New Roman"/>
          <w:sz w:val="28"/>
          <w:szCs w:val="28"/>
        </w:rPr>
        <w:t>4</w:t>
      </w:r>
      <w:r w:rsidRPr="002B2A4C">
        <w:rPr>
          <w:rFonts w:ascii="Times New Roman" w:hAnsi="Times New Roman" w:cs="Times New Roman"/>
          <w:sz w:val="28"/>
          <w:szCs w:val="28"/>
        </w:rPr>
        <w:t xml:space="preserve">г. – </w:t>
      </w:r>
      <w:r w:rsidR="004700DE" w:rsidRPr="002B2A4C">
        <w:rPr>
          <w:rFonts w:ascii="Times New Roman" w:hAnsi="Times New Roman" w:cs="Times New Roman"/>
          <w:sz w:val="28"/>
          <w:szCs w:val="28"/>
        </w:rPr>
        <w:t>6974</w:t>
      </w:r>
      <w:r w:rsidRPr="002B2A4C">
        <w:rPr>
          <w:rFonts w:ascii="Times New Roman" w:hAnsi="Times New Roman" w:cs="Times New Roman"/>
          <w:sz w:val="28"/>
          <w:szCs w:val="28"/>
        </w:rPr>
        <w:t xml:space="preserve"> чел.), увеличилось </w:t>
      </w:r>
      <w:r w:rsidR="004700DE" w:rsidRPr="002B2A4C">
        <w:rPr>
          <w:rFonts w:ascii="Times New Roman" w:hAnsi="Times New Roman" w:cs="Times New Roman"/>
          <w:sz w:val="28"/>
          <w:szCs w:val="28"/>
        </w:rPr>
        <w:t>на</w:t>
      </w:r>
      <w:r w:rsidRPr="002B2A4C">
        <w:rPr>
          <w:rFonts w:ascii="Times New Roman" w:hAnsi="Times New Roman" w:cs="Times New Roman"/>
          <w:sz w:val="28"/>
          <w:szCs w:val="28"/>
        </w:rPr>
        <w:t xml:space="preserve"> </w:t>
      </w:r>
      <w:r w:rsidR="004700DE" w:rsidRPr="002B2A4C">
        <w:rPr>
          <w:rFonts w:ascii="Times New Roman" w:hAnsi="Times New Roman" w:cs="Times New Roman"/>
          <w:sz w:val="28"/>
          <w:szCs w:val="28"/>
        </w:rPr>
        <w:t>40,7 %</w:t>
      </w:r>
      <w:r w:rsidRPr="002B2A4C">
        <w:rPr>
          <w:rFonts w:ascii="Times New Roman" w:hAnsi="Times New Roman" w:cs="Times New Roman"/>
          <w:sz w:val="28"/>
          <w:szCs w:val="28"/>
        </w:rPr>
        <w:t>.</w:t>
      </w:r>
    </w:p>
    <w:p w:rsidR="00112E48" w:rsidRPr="001823AE" w:rsidRDefault="00112E48" w:rsidP="00FC54B3">
      <w:pPr>
        <w:widowControl w:val="0"/>
        <w:spacing w:after="0" w:line="276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По видам экономической деятельности от общего количества </w:t>
      </w:r>
      <w:r w:rsidR="00FE2525" w:rsidRPr="001823AE">
        <w:rPr>
          <w:rFonts w:ascii="Times New Roman" w:hAnsi="Times New Roman" w:cs="Times New Roman"/>
          <w:sz w:val="28"/>
          <w:szCs w:val="28"/>
        </w:rPr>
        <w:t>малых предприятий</w:t>
      </w:r>
      <w:r w:rsidRPr="001823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2E48" w:rsidRPr="001823AE" w:rsidRDefault="00112E48" w:rsidP="001823AE">
      <w:pPr>
        <w:widowControl w:val="0"/>
        <w:numPr>
          <w:ilvl w:val="0"/>
          <w:numId w:val="4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предприятия торговли, общественного питания и бытового обслуживания </w:t>
      </w:r>
      <w:r w:rsidR="001823AE">
        <w:rPr>
          <w:rFonts w:ascii="Times New Roman" w:hAnsi="Times New Roman" w:cs="Times New Roman"/>
          <w:sz w:val="28"/>
          <w:szCs w:val="28"/>
        </w:rPr>
        <w:t xml:space="preserve">- </w:t>
      </w:r>
      <w:r w:rsidRPr="001823AE">
        <w:rPr>
          <w:rFonts w:ascii="Times New Roman" w:hAnsi="Times New Roman" w:cs="Times New Roman"/>
          <w:sz w:val="28"/>
          <w:szCs w:val="28"/>
        </w:rPr>
        <w:t xml:space="preserve">62%; </w:t>
      </w:r>
    </w:p>
    <w:p w:rsidR="00112E48" w:rsidRPr="001823AE" w:rsidRDefault="00112E48" w:rsidP="001823AE">
      <w:pPr>
        <w:widowControl w:val="0"/>
        <w:numPr>
          <w:ilvl w:val="0"/>
          <w:numId w:val="4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предприятия обрабатывающего производства </w:t>
      </w:r>
      <w:r w:rsidR="001823AE">
        <w:rPr>
          <w:rFonts w:ascii="Times New Roman" w:hAnsi="Times New Roman" w:cs="Times New Roman"/>
          <w:sz w:val="28"/>
          <w:szCs w:val="28"/>
        </w:rPr>
        <w:t xml:space="preserve">- </w:t>
      </w:r>
      <w:r w:rsidRPr="001823AE">
        <w:rPr>
          <w:rFonts w:ascii="Times New Roman" w:hAnsi="Times New Roman" w:cs="Times New Roman"/>
          <w:sz w:val="28"/>
          <w:szCs w:val="28"/>
        </w:rPr>
        <w:t>17%;</w:t>
      </w:r>
    </w:p>
    <w:p w:rsidR="00112E48" w:rsidRPr="001823AE" w:rsidRDefault="00112E48" w:rsidP="001823AE">
      <w:pPr>
        <w:widowControl w:val="0"/>
        <w:numPr>
          <w:ilvl w:val="0"/>
          <w:numId w:val="4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предприятия строительной сферы </w:t>
      </w:r>
      <w:r w:rsidR="001823AE">
        <w:rPr>
          <w:rFonts w:ascii="Times New Roman" w:hAnsi="Times New Roman" w:cs="Times New Roman"/>
          <w:sz w:val="28"/>
          <w:szCs w:val="28"/>
        </w:rPr>
        <w:t>-</w:t>
      </w:r>
      <w:r w:rsidRPr="001823AE">
        <w:rPr>
          <w:rFonts w:ascii="Times New Roman" w:hAnsi="Times New Roman" w:cs="Times New Roman"/>
          <w:sz w:val="28"/>
          <w:szCs w:val="28"/>
        </w:rPr>
        <w:t xml:space="preserve"> 12,5%;</w:t>
      </w:r>
    </w:p>
    <w:p w:rsidR="00112E48" w:rsidRPr="001823AE" w:rsidRDefault="00112E48" w:rsidP="001823AE">
      <w:pPr>
        <w:widowControl w:val="0"/>
        <w:numPr>
          <w:ilvl w:val="0"/>
          <w:numId w:val="4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предприятия транспорта и связи </w:t>
      </w:r>
      <w:r w:rsidR="001823AE">
        <w:rPr>
          <w:rFonts w:ascii="Times New Roman" w:hAnsi="Times New Roman" w:cs="Times New Roman"/>
          <w:sz w:val="28"/>
          <w:szCs w:val="28"/>
        </w:rPr>
        <w:t>-</w:t>
      </w:r>
      <w:r w:rsidRPr="001823AE">
        <w:rPr>
          <w:rFonts w:ascii="Times New Roman" w:hAnsi="Times New Roman" w:cs="Times New Roman"/>
          <w:sz w:val="28"/>
          <w:szCs w:val="28"/>
        </w:rPr>
        <w:t xml:space="preserve"> 3,5%;</w:t>
      </w:r>
    </w:p>
    <w:p w:rsidR="006576D5" w:rsidRPr="001823AE" w:rsidRDefault="00112E48" w:rsidP="001823AE">
      <w:pPr>
        <w:widowControl w:val="0"/>
        <w:numPr>
          <w:ilvl w:val="0"/>
          <w:numId w:val="4"/>
        </w:numPr>
        <w:tabs>
          <w:tab w:val="left" w:pos="360"/>
        </w:tabs>
        <w:spacing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прочие </w:t>
      </w:r>
      <w:r w:rsidR="001823AE">
        <w:rPr>
          <w:rFonts w:ascii="Times New Roman" w:hAnsi="Times New Roman" w:cs="Times New Roman"/>
          <w:sz w:val="28"/>
          <w:szCs w:val="28"/>
        </w:rPr>
        <w:t>-</w:t>
      </w:r>
      <w:r w:rsidRPr="001823AE">
        <w:rPr>
          <w:rFonts w:ascii="Times New Roman" w:hAnsi="Times New Roman" w:cs="Times New Roman"/>
          <w:sz w:val="28"/>
          <w:szCs w:val="28"/>
        </w:rPr>
        <w:t xml:space="preserve"> 5 %.</w:t>
      </w:r>
    </w:p>
    <w:p w:rsidR="00112E48" w:rsidRPr="001823AE" w:rsidRDefault="00112E48" w:rsidP="00FC54B3">
      <w:pPr>
        <w:widowControl w:val="0"/>
        <w:spacing w:after="0" w:line="276" w:lineRule="auto"/>
        <w:ind w:right="30" w:firstLine="5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3AE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E85D51" w:rsidRPr="001823AE">
        <w:rPr>
          <w:rFonts w:ascii="Times New Roman" w:hAnsi="Times New Roman" w:cs="Times New Roman"/>
          <w:sz w:val="28"/>
          <w:szCs w:val="28"/>
          <w:u w:val="single"/>
        </w:rPr>
        <w:t xml:space="preserve">12 месяцев </w:t>
      </w:r>
      <w:r w:rsidRPr="001823A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E85D51" w:rsidRPr="001823A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1823AE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E85D51" w:rsidRPr="001823AE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823A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85D51" w:rsidRPr="001823AE" w:rsidRDefault="00E85D51" w:rsidP="00E85D51">
      <w:pPr>
        <w:pStyle w:val="ab"/>
        <w:widowControl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- оборот малых предприятий составил 22 157,0 млн. рублей;</w:t>
      </w:r>
    </w:p>
    <w:p w:rsidR="00E85D51" w:rsidRPr="001823AE" w:rsidRDefault="00E85D51" w:rsidP="00E85D51">
      <w:pPr>
        <w:pStyle w:val="ab"/>
        <w:widowControl w:val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- средняя численность занятых на малых и средних предприятиях - 17 450 человек.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В целях активизации деятельности по поддержке субъектов малого и среднего предпринимательства в городе проводятся встречи главы города с предпринимательским сообществом. С начала года проведены 4 встречи, на которой присутствовало более 120 человек. Для решения актуальных вопросов на встречу были приглашены </w:t>
      </w:r>
      <w:r w:rsidR="006A4DA9">
        <w:rPr>
          <w:rFonts w:ascii="Times New Roman" w:hAnsi="Times New Roman" w:cs="Times New Roman"/>
          <w:sz w:val="28"/>
          <w:szCs w:val="28"/>
        </w:rPr>
        <w:t>представители</w:t>
      </w:r>
      <w:r w:rsidR="008B6A9A">
        <w:rPr>
          <w:rFonts w:ascii="Times New Roman" w:hAnsi="Times New Roman" w:cs="Times New Roman"/>
          <w:sz w:val="28"/>
          <w:szCs w:val="28"/>
        </w:rPr>
        <w:t>:</w:t>
      </w:r>
      <w:r w:rsidRPr="001823AE">
        <w:rPr>
          <w:rFonts w:ascii="Times New Roman" w:hAnsi="Times New Roman" w:cs="Times New Roman"/>
          <w:sz w:val="28"/>
          <w:szCs w:val="28"/>
        </w:rPr>
        <w:t xml:space="preserve"> КСЗН, Муниципального фонда поддержки малого предпринимательства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г.Прокопьевска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>, МИ ФНС России №11 по Кемеровской области, службы  ЖКХ и благоустройства,</w:t>
      </w:r>
      <w:r w:rsidR="001823AE">
        <w:rPr>
          <w:rFonts w:ascii="Times New Roman" w:hAnsi="Times New Roman" w:cs="Times New Roman"/>
          <w:sz w:val="28"/>
          <w:szCs w:val="28"/>
        </w:rPr>
        <w:t xml:space="preserve"> </w:t>
      </w:r>
      <w:r w:rsidRPr="001823AE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ЭкоТек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Экоград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>», МУП «ГЭТ», ООО «Эталон» и др.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Проводится информационная работа с субъектами малого и среднего предпринимательства с целью максимального и качественного доведения сведений об организациях инфраструктуры поддержки бизнеса и мерах поддержки бизнеса ими представляемыми. Информация доводится  через средства  массовой информации (телерадиокомпания «27 плюс», газета «Шахтерская правда»), размещается на официальных сайтах администрации города Прокопьевска и Муниципального фонда поддержки малого предпринимательства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г.Прокопьевска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 в сети  Интернет, путем рассылки на электронные адреса, мессенджеры (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), в Одноклассники и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>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В целях содействия развитию малого и среднего предпринимательства и создания благоприятных условий их деятельности Советом по поддержке малого и среднего предпринимательства города Прокопьевска проведено 4 заседания, на которых рассмотрены вопросы: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 xml:space="preserve">Проведение на территории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 городского округа Областной летней Спартакиады среди предпринимателей;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Подготовка к областному Дню Шахтера в 2025 году;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 xml:space="preserve">Уборка прилегающей территории предприятий, расположенных в МКД, согласно Правилам благоустройства на территории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Трудоустройство несовершеннолетних граждан;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Проведение IV Всероссийского шахтерского «Сабантуя»;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Подготовка к городскому Дню города и Дню Шахтера в 2024 году;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Организационные вопросы по проведению 3-4 августа гастрономического фестиваля «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ПроПикник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>».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С целью актуализации знаний руководителей субъектов малого и среднего предпринимательства в вопросах трудового права и информационной поддержки предпринимателей города Муниципальным фондом поддержки малого предпринимательства проведены информационно-консультационные семинары-практикумы, круглые столы с представителями малого и среднего бизнеса на темы: 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 xml:space="preserve"> «Как не стать жертвой мошенника»;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 xml:space="preserve">«Налоговый контроль»; 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 xml:space="preserve"> «Час налоговой и омбудсмена»;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«Участие малого бизнеса и самозанятых граждан в закупках крупнейших компаний»;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«Всемирный день потребителей, защита прав потребителей»;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«Основы предпринимательства и бизнес-планирования»;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«Меры поддержки для МСП: простые способы снизить риски для бизнеса и фондов»;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«Маркировка товаров: как бизнесу адаптироваться к новой системе»;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«Упрощенное прекращение деятельности для СМСП. Риски и последствия оформления договоров ГПХ с самозанятыми, порядок налогообложения доходов от продажи имущественных прав, имущества, используемого в предпринимательской деятельности»;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«Мой бизнес Кузбасс: Шире круг»;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«Искусственное дробление бизнеса»;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«Масштабные изменения в налоговом законодательстве с 2025 года»;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«Нарушения в работе с персональными данными»;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«Навыки публичных выступлений. Самопрезентация. Деловой этикет предпринимателя» и т.д.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С начала года проведено 24 мероприятия (вебинар</w:t>
      </w:r>
      <w:r w:rsidR="006A4DA9">
        <w:rPr>
          <w:rFonts w:ascii="Times New Roman" w:hAnsi="Times New Roman" w:cs="Times New Roman"/>
          <w:sz w:val="28"/>
          <w:szCs w:val="28"/>
        </w:rPr>
        <w:t>ы</w:t>
      </w:r>
      <w:r w:rsidRPr="001823AE">
        <w:rPr>
          <w:rFonts w:ascii="Times New Roman" w:hAnsi="Times New Roman" w:cs="Times New Roman"/>
          <w:sz w:val="28"/>
          <w:szCs w:val="28"/>
        </w:rPr>
        <w:t>, семинар</w:t>
      </w:r>
      <w:r w:rsidR="006A4DA9">
        <w:rPr>
          <w:rFonts w:ascii="Times New Roman" w:hAnsi="Times New Roman" w:cs="Times New Roman"/>
          <w:sz w:val="28"/>
          <w:szCs w:val="28"/>
        </w:rPr>
        <w:t>ы</w:t>
      </w:r>
      <w:r w:rsidRPr="001823AE">
        <w:rPr>
          <w:rFonts w:ascii="Times New Roman" w:hAnsi="Times New Roman" w:cs="Times New Roman"/>
          <w:sz w:val="28"/>
          <w:szCs w:val="28"/>
        </w:rPr>
        <w:t>, онлайн практикум</w:t>
      </w:r>
      <w:r w:rsidR="006A4DA9">
        <w:rPr>
          <w:rFonts w:ascii="Times New Roman" w:hAnsi="Times New Roman" w:cs="Times New Roman"/>
          <w:sz w:val="28"/>
          <w:szCs w:val="28"/>
        </w:rPr>
        <w:t>ы</w:t>
      </w:r>
      <w:r w:rsidRPr="001823AE">
        <w:rPr>
          <w:rFonts w:ascii="Times New Roman" w:hAnsi="Times New Roman" w:cs="Times New Roman"/>
          <w:sz w:val="28"/>
          <w:szCs w:val="28"/>
        </w:rPr>
        <w:t>) с участием более 140 человек.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ведется работа по оказанию имущественной поддержки субъектам малого и среднего предпринимательства на территории города. С целью доступности информации о льготной аренде для предпринимателей  на официальном сайте администрации г. Прокопьевска опубликован перечень муниципального имущества (18 объектов), свободного от прав третьих лиц (за исключением права хозяйственного ведения, права оперативного управления, а также имущественных прав СМСП) предназначенного для передачи во владение и (или) пользование СМСП и организациям, образующим инфраструктуру поддержки СМСП, для последующего использования такого имущества СМСП. 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С 1 января 2024г. МФ ПМП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г.Прокопьевска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 увеличил срок предоставляет займов для субъектов малого и среднего предпринимательства до 36 мес. Предоставляются займы: на производство (на основные средства – 8,5%; на оборотные средства – 12%); на услуги – 12%; на торговлю и операции с недвижимостью – 14%.</w:t>
      </w:r>
    </w:p>
    <w:p w:rsidR="00E85D51" w:rsidRPr="001823AE" w:rsidRDefault="00E85D51" w:rsidP="00B81884">
      <w:pPr>
        <w:widowControl w:val="0"/>
        <w:spacing w:before="24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За 12 месяцев 2024 года МФ ПМП г. Прокопьевска выдан 31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 на сумму 41 860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>., за счет реинвестированных средств.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Образовательные услуги получили 65 субъектов МСП по следующим направлениям: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- бухгалтерский учет; 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- </w:t>
      </w:r>
      <w:r w:rsidR="00B16106" w:rsidRPr="001823AE">
        <w:rPr>
          <w:rFonts w:ascii="Times New Roman" w:hAnsi="Times New Roman" w:cs="Times New Roman"/>
          <w:sz w:val="28"/>
          <w:szCs w:val="28"/>
        </w:rPr>
        <w:t>1С: Зарплата и управление персоналом</w:t>
      </w:r>
      <w:r w:rsidRPr="001823AE">
        <w:rPr>
          <w:rFonts w:ascii="Times New Roman" w:hAnsi="Times New Roman" w:cs="Times New Roman"/>
          <w:sz w:val="28"/>
          <w:szCs w:val="28"/>
        </w:rPr>
        <w:t>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- охрана труда;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- контрактная система;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- кадровое делопроизводство;</w:t>
      </w:r>
    </w:p>
    <w:p w:rsidR="00916429" w:rsidRPr="001823AE" w:rsidRDefault="00E85D51" w:rsidP="00916429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-</w:t>
      </w:r>
      <w:r w:rsidR="00B16106" w:rsidRPr="001823AE">
        <w:rPr>
          <w:rFonts w:ascii="Times New Roman" w:hAnsi="Times New Roman" w:cs="Times New Roman"/>
          <w:sz w:val="28"/>
          <w:szCs w:val="28"/>
        </w:rPr>
        <w:t xml:space="preserve"> </w:t>
      </w:r>
      <w:r w:rsidRPr="001823AE">
        <w:rPr>
          <w:rFonts w:ascii="Times New Roman" w:hAnsi="Times New Roman" w:cs="Times New Roman"/>
          <w:sz w:val="28"/>
          <w:szCs w:val="28"/>
        </w:rPr>
        <w:t>аппаратный маникюр;</w:t>
      </w:r>
    </w:p>
    <w:p w:rsidR="00916429" w:rsidRPr="001823AE" w:rsidRDefault="00E85D51" w:rsidP="00916429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- </w:t>
      </w:r>
      <w:r w:rsidR="00B16106" w:rsidRPr="001823AE">
        <w:rPr>
          <w:rFonts w:ascii="Times New Roman" w:hAnsi="Times New Roman" w:cs="Times New Roman"/>
          <w:sz w:val="28"/>
          <w:szCs w:val="28"/>
        </w:rPr>
        <w:t>пользователь ПК</w:t>
      </w:r>
      <w:r w:rsidRPr="001823AE">
        <w:rPr>
          <w:rFonts w:ascii="Times New Roman" w:hAnsi="Times New Roman" w:cs="Times New Roman"/>
          <w:sz w:val="28"/>
          <w:szCs w:val="28"/>
        </w:rPr>
        <w:t>.</w:t>
      </w:r>
    </w:p>
    <w:p w:rsidR="00E85D51" w:rsidRPr="001823AE" w:rsidRDefault="00E85D51" w:rsidP="00916429">
      <w:pPr>
        <w:widowControl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Оказано на безвозмездной основе информационно-консультационных услуг 4077 субъектам, в том числе: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- по вопросам финансовой поддержки –79;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- по разработке бизнес-проектов - 212;</w:t>
      </w:r>
    </w:p>
    <w:p w:rsidR="00E85D51" w:rsidRPr="001823AE" w:rsidRDefault="00E85D51" w:rsidP="00EA20F4">
      <w:pPr>
        <w:widowControl w:val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- по прочим вопросам предпринимательской деятельности - 3786.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Разработано 211 бизнес-планов по направлениям: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производство – 9;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оказание услуг – 21;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торговля - 8;</w:t>
      </w:r>
    </w:p>
    <w:p w:rsidR="00E85D51" w:rsidRPr="001823AE" w:rsidRDefault="00E85D51" w:rsidP="00B1610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для получения субсидии в ЦЗН – 17;</w:t>
      </w:r>
    </w:p>
    <w:p w:rsidR="00E85D51" w:rsidRPr="001823AE" w:rsidRDefault="00E85D51" w:rsidP="00B16106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для получения соц</w:t>
      </w:r>
      <w:r w:rsidR="00231BFE" w:rsidRPr="001823AE">
        <w:rPr>
          <w:rFonts w:ascii="Times New Roman" w:hAnsi="Times New Roman" w:cs="Times New Roman"/>
          <w:sz w:val="28"/>
          <w:szCs w:val="28"/>
        </w:rPr>
        <w:t xml:space="preserve">. </w:t>
      </w:r>
      <w:r w:rsidRPr="001823AE">
        <w:rPr>
          <w:rFonts w:ascii="Times New Roman" w:hAnsi="Times New Roman" w:cs="Times New Roman"/>
          <w:sz w:val="28"/>
          <w:szCs w:val="28"/>
        </w:rPr>
        <w:t>контракта – 147;</w:t>
      </w:r>
    </w:p>
    <w:p w:rsidR="00686E44" w:rsidRPr="001823AE" w:rsidRDefault="00E85D51" w:rsidP="0091642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•</w:t>
      </w:r>
      <w:r w:rsidRPr="001823AE">
        <w:rPr>
          <w:rFonts w:ascii="Times New Roman" w:hAnsi="Times New Roman" w:cs="Times New Roman"/>
          <w:sz w:val="28"/>
          <w:szCs w:val="28"/>
        </w:rPr>
        <w:tab/>
        <w:t>прочие – 9.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С начала текущего года 124 человека на сумму 43,0 млн. рублей получили государственную социальную помощь для создания бизнеса на основании социального контракта в виде единовременной выплаты до 350 тыс. рублей через Комитет социальной защиты населения администрации г. Прокопьевска.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>Государственным фондом поддержки предпринимательства Кемеровской области предоставлено 7 займов.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 За получением гарантий и поручительств в «Корпорацию МСП» обратились 5 человек.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 Получено более 300 консультаций по вопросам ведения предпринимательской деятельности и получения финансовой поддержки в ГАУ КО - Кузбасса «Мой бизнес».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Министерство по туризму Кузбасса в рамках Государственной поддержки проектов, направленных на создание и развитие мест отдыха у воды проведен конкурсный отбор. От города Прокопьевска финансовую поддержку в размере 1 млн. рублей получил индивидуальный предприниматель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Махароблидзе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 Р.И. на приобретение плавсредств (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Зенковский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 парк).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7 июня 2024г. на стадионе «Шахтер» состоялась VIII Областная летняя Спартакиада среди субъектов малого и среднего предпринимательства и представителей инфраструктуры поддержки предпринимательства. Приняли </w:t>
      </w:r>
      <w:r w:rsidR="00CC5757" w:rsidRPr="001823AE">
        <w:rPr>
          <w:rFonts w:ascii="Times New Roman" w:hAnsi="Times New Roman" w:cs="Times New Roman"/>
          <w:sz w:val="28"/>
          <w:szCs w:val="28"/>
        </w:rPr>
        <w:t>участие команды</w:t>
      </w:r>
      <w:r w:rsidRPr="001823AE">
        <w:rPr>
          <w:rFonts w:ascii="Times New Roman" w:hAnsi="Times New Roman" w:cs="Times New Roman"/>
          <w:sz w:val="28"/>
          <w:szCs w:val="28"/>
        </w:rPr>
        <w:t xml:space="preserve"> из 15 территорий Кузбасса. Первое место и </w:t>
      </w:r>
      <w:r w:rsidR="00CC5757" w:rsidRPr="001823AE">
        <w:rPr>
          <w:rFonts w:ascii="Times New Roman" w:hAnsi="Times New Roman" w:cs="Times New Roman"/>
          <w:sz w:val="28"/>
          <w:szCs w:val="28"/>
        </w:rPr>
        <w:t>сертификат на</w:t>
      </w:r>
      <w:r w:rsidRPr="001823AE">
        <w:rPr>
          <w:rFonts w:ascii="Times New Roman" w:hAnsi="Times New Roman" w:cs="Times New Roman"/>
          <w:sz w:val="28"/>
          <w:szCs w:val="28"/>
        </w:rPr>
        <w:t xml:space="preserve"> сумму 50 000 рублей у команды предпринимателей города Прокопьевска.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30 июня 2024 года состоялся IV Международный шахтерский Сабантуй в городе Прокопьевске на территории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Зенковского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 парка культуры и отдыха. 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В Сабантуе приняли участие около 30 предприятий и индивидуальных предпринимателей, которые </w:t>
      </w:r>
      <w:r w:rsidR="00CC5757" w:rsidRPr="001823AE">
        <w:rPr>
          <w:rFonts w:ascii="Times New Roman" w:hAnsi="Times New Roman" w:cs="Times New Roman"/>
          <w:sz w:val="28"/>
          <w:szCs w:val="28"/>
        </w:rPr>
        <w:t>представили блюда</w:t>
      </w:r>
      <w:r w:rsidRPr="001823AE">
        <w:rPr>
          <w:rFonts w:ascii="Times New Roman" w:hAnsi="Times New Roman" w:cs="Times New Roman"/>
          <w:sz w:val="28"/>
          <w:szCs w:val="28"/>
        </w:rPr>
        <w:t xml:space="preserve"> национальной кухни. </w:t>
      </w:r>
    </w:p>
    <w:p w:rsidR="00E85D51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3-4 августа 2024 года на территории 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Зенковского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 парка культуры и отдыха прошел </w:t>
      </w:r>
      <w:r w:rsidR="00CC5757" w:rsidRPr="001823AE">
        <w:rPr>
          <w:rFonts w:ascii="Times New Roman" w:hAnsi="Times New Roman" w:cs="Times New Roman"/>
          <w:sz w:val="28"/>
          <w:szCs w:val="28"/>
        </w:rPr>
        <w:t>фестиваль парковой</w:t>
      </w:r>
      <w:r w:rsidRPr="001823AE">
        <w:rPr>
          <w:rFonts w:ascii="Times New Roman" w:hAnsi="Times New Roman" w:cs="Times New Roman"/>
          <w:sz w:val="28"/>
          <w:szCs w:val="28"/>
        </w:rPr>
        <w:t xml:space="preserve"> культуры «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ПРОпикник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». В </w:t>
      </w:r>
      <w:r w:rsidR="00CC5757" w:rsidRPr="001823AE">
        <w:rPr>
          <w:rFonts w:ascii="Times New Roman" w:hAnsi="Times New Roman" w:cs="Times New Roman"/>
          <w:sz w:val="28"/>
          <w:szCs w:val="28"/>
        </w:rPr>
        <w:t>фестивале приняли</w:t>
      </w:r>
      <w:r w:rsidRPr="001823AE">
        <w:rPr>
          <w:rFonts w:ascii="Times New Roman" w:hAnsi="Times New Roman" w:cs="Times New Roman"/>
          <w:sz w:val="28"/>
          <w:szCs w:val="28"/>
        </w:rPr>
        <w:t xml:space="preserve"> участие предприятия общественного питания не только из Кузбасса, но и с соседних территорий. Предприятием ООО «ВИПП </w:t>
      </w:r>
      <w:r w:rsidR="00CC5757" w:rsidRPr="001823AE">
        <w:rPr>
          <w:rFonts w:ascii="Times New Roman" w:hAnsi="Times New Roman" w:cs="Times New Roman"/>
          <w:sz w:val="28"/>
          <w:szCs w:val="28"/>
        </w:rPr>
        <w:t>СИБИРИЯ» (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Позолотина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 И.А.) поставлен рекорд </w:t>
      </w:r>
      <w:r w:rsidR="00CC5757" w:rsidRPr="001823AE">
        <w:rPr>
          <w:rFonts w:ascii="Times New Roman" w:hAnsi="Times New Roman" w:cs="Times New Roman"/>
          <w:sz w:val="28"/>
          <w:szCs w:val="28"/>
        </w:rPr>
        <w:t>по приготовлению</w:t>
      </w:r>
      <w:r w:rsidRPr="001823AE">
        <w:rPr>
          <w:rFonts w:ascii="Times New Roman" w:hAnsi="Times New Roman" w:cs="Times New Roman"/>
          <w:sz w:val="28"/>
          <w:szCs w:val="28"/>
        </w:rPr>
        <w:t xml:space="preserve"> паэльи, который занесен в Книгу </w:t>
      </w:r>
      <w:r w:rsidR="00CC5757" w:rsidRPr="001823AE">
        <w:rPr>
          <w:rFonts w:ascii="Times New Roman" w:hAnsi="Times New Roman" w:cs="Times New Roman"/>
          <w:sz w:val="28"/>
          <w:szCs w:val="28"/>
        </w:rPr>
        <w:t>рекордов России</w:t>
      </w:r>
      <w:r w:rsidRPr="001823AE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ПРОпикник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>» признан лучшим событием в Сибирском и Дальневосточном федеральных округах, занял 1 место в номинации «Событие, посвященное Году семьи». В ноябре в Нижнем Новгороде состоялся Общенациональный финал. Фестиваль парковой культуры «</w:t>
      </w:r>
      <w:proofErr w:type="spellStart"/>
      <w:r w:rsidRPr="001823AE">
        <w:rPr>
          <w:rFonts w:ascii="Times New Roman" w:hAnsi="Times New Roman" w:cs="Times New Roman"/>
          <w:sz w:val="28"/>
          <w:szCs w:val="28"/>
        </w:rPr>
        <w:t>ПРОпикник</w:t>
      </w:r>
      <w:proofErr w:type="spellEnd"/>
      <w:r w:rsidRPr="001823AE">
        <w:rPr>
          <w:rFonts w:ascii="Times New Roman" w:hAnsi="Times New Roman" w:cs="Times New Roman"/>
          <w:sz w:val="28"/>
          <w:szCs w:val="28"/>
        </w:rPr>
        <w:t xml:space="preserve">» (г. Прокопьевск) </w:t>
      </w:r>
      <w:r w:rsidR="00CC5757" w:rsidRPr="001823AE">
        <w:rPr>
          <w:rFonts w:ascii="Times New Roman" w:hAnsi="Times New Roman" w:cs="Times New Roman"/>
          <w:sz w:val="28"/>
          <w:szCs w:val="28"/>
        </w:rPr>
        <w:t>занял 2</w:t>
      </w:r>
      <w:r w:rsidRPr="001823AE">
        <w:rPr>
          <w:rFonts w:ascii="Times New Roman" w:hAnsi="Times New Roman" w:cs="Times New Roman"/>
          <w:sz w:val="28"/>
          <w:szCs w:val="28"/>
        </w:rPr>
        <w:t xml:space="preserve"> место в номинации «Событие, посвященное Году семьи».</w:t>
      </w:r>
    </w:p>
    <w:p w:rsidR="007F00D0" w:rsidRPr="001823AE" w:rsidRDefault="00E85D51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  <w:r w:rsidRPr="001823AE">
        <w:rPr>
          <w:rFonts w:ascii="Times New Roman" w:hAnsi="Times New Roman" w:cs="Times New Roman"/>
          <w:sz w:val="28"/>
          <w:szCs w:val="28"/>
        </w:rPr>
        <w:t xml:space="preserve">В сентябре 2024г.  прошел заключительный этап регионального </w:t>
      </w:r>
      <w:r w:rsidR="00CC5757" w:rsidRPr="001823AE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B8188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B81884">
        <w:rPr>
          <w:rFonts w:ascii="Times New Roman" w:hAnsi="Times New Roman" w:cs="Times New Roman"/>
          <w:sz w:val="28"/>
          <w:szCs w:val="28"/>
        </w:rPr>
        <w:t xml:space="preserve">   </w:t>
      </w:r>
      <w:r w:rsidR="00CC5757" w:rsidRPr="001823AE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1823AE">
        <w:rPr>
          <w:rFonts w:ascii="Times New Roman" w:hAnsi="Times New Roman" w:cs="Times New Roman"/>
          <w:sz w:val="28"/>
          <w:szCs w:val="28"/>
        </w:rPr>
        <w:t>Мой бизнес! Мои достижения!». От города Прокопьевска приняла участие</w:t>
      </w:r>
      <w:r w:rsidR="00CC5757" w:rsidRPr="001823AE">
        <w:rPr>
          <w:rFonts w:ascii="Times New Roman" w:hAnsi="Times New Roman" w:cs="Times New Roman"/>
          <w:sz w:val="28"/>
          <w:szCs w:val="28"/>
        </w:rPr>
        <w:t xml:space="preserve"> </w:t>
      </w:r>
      <w:r w:rsidR="00B818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823AE">
        <w:rPr>
          <w:rFonts w:ascii="Times New Roman" w:hAnsi="Times New Roman" w:cs="Times New Roman"/>
          <w:sz w:val="28"/>
          <w:szCs w:val="28"/>
        </w:rPr>
        <w:t xml:space="preserve">ИП Колосова Н.П. По </w:t>
      </w:r>
      <w:r w:rsidR="00CC5757" w:rsidRPr="001823AE">
        <w:rPr>
          <w:rFonts w:ascii="Times New Roman" w:hAnsi="Times New Roman" w:cs="Times New Roman"/>
          <w:sz w:val="28"/>
          <w:szCs w:val="28"/>
        </w:rPr>
        <w:t>итогам конкурса</w:t>
      </w:r>
      <w:r w:rsidRPr="001823AE">
        <w:rPr>
          <w:rFonts w:ascii="Times New Roman" w:hAnsi="Times New Roman" w:cs="Times New Roman"/>
          <w:sz w:val="28"/>
          <w:szCs w:val="28"/>
        </w:rPr>
        <w:t xml:space="preserve"> вручен Диплом </w:t>
      </w:r>
      <w:r w:rsidR="00687BB6" w:rsidRPr="001823AE">
        <w:rPr>
          <w:rFonts w:ascii="Times New Roman" w:hAnsi="Times New Roman" w:cs="Times New Roman"/>
          <w:sz w:val="28"/>
          <w:szCs w:val="28"/>
        </w:rPr>
        <w:t>участника регионального</w:t>
      </w:r>
      <w:r w:rsidRPr="001823AE">
        <w:rPr>
          <w:rFonts w:ascii="Times New Roman" w:hAnsi="Times New Roman" w:cs="Times New Roman"/>
          <w:sz w:val="28"/>
          <w:szCs w:val="28"/>
        </w:rPr>
        <w:t xml:space="preserve"> конкурса в номинации «Самый вкусный бренд».</w:t>
      </w:r>
    </w:p>
    <w:p w:rsidR="002F07BE" w:rsidRPr="00B81884" w:rsidRDefault="002F07BE" w:rsidP="00E85D51">
      <w:pPr>
        <w:widowControl w:val="0"/>
        <w:spacing w:after="0"/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7F00D0" w:rsidRPr="00B81884" w:rsidRDefault="00FE2525" w:rsidP="00FC54B3">
      <w:pPr>
        <w:widowControl w:val="0"/>
        <w:spacing w:after="0"/>
        <w:ind w:firstLine="55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884">
        <w:rPr>
          <w:rFonts w:ascii="Times New Roman" w:hAnsi="Times New Roman" w:cs="Times New Roman"/>
          <w:b/>
          <w:bCs/>
          <w:sz w:val="28"/>
          <w:szCs w:val="28"/>
        </w:rPr>
        <w:t>ДЕМОГРАФИЯ</w:t>
      </w:r>
    </w:p>
    <w:p w:rsidR="007F00D0" w:rsidRPr="00B81884" w:rsidRDefault="00FE2525" w:rsidP="00FC54B3">
      <w:pPr>
        <w:widowControl w:val="0"/>
        <w:spacing w:after="0"/>
        <w:ind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884">
        <w:rPr>
          <w:rFonts w:ascii="Times New Roman" w:hAnsi="Times New Roman" w:cs="Times New Roman"/>
          <w:bCs/>
          <w:sz w:val="28"/>
          <w:szCs w:val="28"/>
        </w:rPr>
        <w:t>В демографической ситуации города сохраняется депопуляция населения, которая характеризуется низк</w:t>
      </w:r>
      <w:r w:rsidR="002F07BE" w:rsidRPr="00B81884">
        <w:rPr>
          <w:rFonts w:ascii="Times New Roman" w:hAnsi="Times New Roman" w:cs="Times New Roman"/>
          <w:bCs/>
          <w:sz w:val="28"/>
          <w:szCs w:val="28"/>
        </w:rPr>
        <w:t>ой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 рождаемость</w:t>
      </w:r>
      <w:r w:rsidR="002F07BE" w:rsidRPr="00B81884">
        <w:rPr>
          <w:rFonts w:ascii="Times New Roman" w:hAnsi="Times New Roman" w:cs="Times New Roman"/>
          <w:bCs/>
          <w:sz w:val="28"/>
          <w:szCs w:val="28"/>
        </w:rPr>
        <w:t>ю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2F07BE" w:rsidRPr="00B81884">
        <w:rPr>
          <w:rFonts w:ascii="Times New Roman" w:hAnsi="Times New Roman" w:cs="Times New Roman"/>
          <w:bCs/>
          <w:sz w:val="28"/>
          <w:szCs w:val="28"/>
        </w:rPr>
        <w:t xml:space="preserve">сохранением </w:t>
      </w:r>
      <w:r w:rsidRPr="00B81884">
        <w:rPr>
          <w:rFonts w:ascii="Times New Roman" w:hAnsi="Times New Roman" w:cs="Times New Roman"/>
          <w:bCs/>
          <w:sz w:val="28"/>
          <w:szCs w:val="28"/>
        </w:rPr>
        <w:t>высок</w:t>
      </w:r>
      <w:r w:rsidR="002F07BE" w:rsidRPr="00B81884">
        <w:rPr>
          <w:rFonts w:ascii="Times New Roman" w:hAnsi="Times New Roman" w:cs="Times New Roman"/>
          <w:bCs/>
          <w:sz w:val="28"/>
          <w:szCs w:val="28"/>
        </w:rPr>
        <w:t>ого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 уровн</w:t>
      </w:r>
      <w:r w:rsidR="002F07BE" w:rsidRPr="00B81884">
        <w:rPr>
          <w:rFonts w:ascii="Times New Roman" w:hAnsi="Times New Roman" w:cs="Times New Roman"/>
          <w:bCs/>
          <w:sz w:val="28"/>
          <w:szCs w:val="28"/>
        </w:rPr>
        <w:t>я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 смертности населения</w:t>
      </w:r>
      <w:r w:rsidR="002F07BE" w:rsidRPr="00B8188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81884">
        <w:rPr>
          <w:rFonts w:ascii="Times New Roman" w:hAnsi="Times New Roman" w:cs="Times New Roman"/>
          <w:bCs/>
          <w:sz w:val="28"/>
          <w:szCs w:val="28"/>
        </w:rPr>
        <w:t>старение</w:t>
      </w:r>
      <w:r w:rsidR="002F07BE" w:rsidRPr="00B81884">
        <w:rPr>
          <w:rFonts w:ascii="Times New Roman" w:hAnsi="Times New Roman" w:cs="Times New Roman"/>
          <w:bCs/>
          <w:sz w:val="28"/>
          <w:szCs w:val="28"/>
        </w:rPr>
        <w:t>м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 населения и трудовых ресурсов</w:t>
      </w:r>
      <w:r w:rsidR="002F07BE" w:rsidRPr="00B81884">
        <w:rPr>
          <w:rFonts w:ascii="Times New Roman" w:hAnsi="Times New Roman" w:cs="Times New Roman"/>
          <w:bCs/>
          <w:sz w:val="28"/>
          <w:szCs w:val="28"/>
        </w:rPr>
        <w:t xml:space="preserve">, а также отрицательным </w:t>
      </w:r>
      <w:r w:rsidRPr="00B81884">
        <w:rPr>
          <w:rFonts w:ascii="Times New Roman" w:hAnsi="Times New Roman" w:cs="Times New Roman"/>
          <w:bCs/>
          <w:sz w:val="28"/>
          <w:szCs w:val="28"/>
        </w:rPr>
        <w:t>миграционн</w:t>
      </w:r>
      <w:r w:rsidR="002F07BE" w:rsidRPr="00B81884">
        <w:rPr>
          <w:rFonts w:ascii="Times New Roman" w:hAnsi="Times New Roman" w:cs="Times New Roman"/>
          <w:bCs/>
          <w:sz w:val="28"/>
          <w:szCs w:val="28"/>
        </w:rPr>
        <w:t>ым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 сальдо.</w:t>
      </w:r>
    </w:p>
    <w:p w:rsidR="007F00D0" w:rsidRPr="00B81884" w:rsidRDefault="007F00D0" w:rsidP="00FC54B3">
      <w:pPr>
        <w:widowControl w:val="0"/>
        <w:spacing w:after="0"/>
        <w:ind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884">
        <w:rPr>
          <w:rFonts w:ascii="Times New Roman" w:hAnsi="Times New Roman" w:cs="Times New Roman"/>
          <w:bCs/>
          <w:sz w:val="28"/>
          <w:szCs w:val="28"/>
        </w:rPr>
        <w:t>Все эти показатели ведут как к сокращению численности населения в целом, так и сокращению трудоспособного и экономически активного населения и тем самым оказывают влияние на формирование трудовых ресурсов.</w:t>
      </w:r>
    </w:p>
    <w:p w:rsidR="007F00D0" w:rsidRPr="00B81884" w:rsidRDefault="007F00D0" w:rsidP="00FC54B3">
      <w:pPr>
        <w:widowControl w:val="0"/>
        <w:spacing w:after="0"/>
        <w:ind w:firstLine="55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884">
        <w:rPr>
          <w:rFonts w:ascii="Times New Roman" w:hAnsi="Times New Roman" w:cs="Times New Roman"/>
          <w:bCs/>
          <w:sz w:val="28"/>
          <w:szCs w:val="28"/>
        </w:rPr>
        <w:t xml:space="preserve">По статистическим данным </w:t>
      </w:r>
      <w:r w:rsidR="008857B9" w:rsidRPr="00B81884">
        <w:rPr>
          <w:rFonts w:ascii="Times New Roman" w:hAnsi="Times New Roman" w:cs="Times New Roman"/>
          <w:bCs/>
          <w:sz w:val="28"/>
          <w:szCs w:val="28"/>
        </w:rPr>
        <w:t xml:space="preserve">постоянное население города учитывая естественную убыль и сальдо миграции </w:t>
      </w:r>
      <w:r w:rsidR="008857B9" w:rsidRPr="00B81884">
        <w:rPr>
          <w:rFonts w:ascii="Times New Roman" w:hAnsi="Times New Roman" w:cs="Times New Roman"/>
          <w:sz w:val="28"/>
          <w:szCs w:val="28"/>
        </w:rPr>
        <w:t xml:space="preserve">на 01.01.2025 года составило 170,429 тыс. чел., </w:t>
      </w:r>
      <w:r w:rsidR="00B818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857B9" w:rsidRPr="00B81884">
        <w:rPr>
          <w:rFonts w:ascii="Times New Roman" w:hAnsi="Times New Roman" w:cs="Times New Roman"/>
          <w:sz w:val="28"/>
          <w:szCs w:val="28"/>
        </w:rPr>
        <w:t>что</w:t>
      </w:r>
      <w:r w:rsidR="00B81884">
        <w:rPr>
          <w:rFonts w:ascii="Times New Roman" w:hAnsi="Times New Roman" w:cs="Times New Roman"/>
          <w:sz w:val="28"/>
          <w:szCs w:val="28"/>
        </w:rPr>
        <w:t xml:space="preserve"> </w:t>
      </w:r>
      <w:r w:rsidR="008857B9" w:rsidRPr="00B81884">
        <w:rPr>
          <w:rFonts w:ascii="Times New Roman" w:hAnsi="Times New Roman" w:cs="Times New Roman"/>
          <w:sz w:val="28"/>
          <w:szCs w:val="28"/>
        </w:rPr>
        <w:t>на 2,189 тыс. чел. меньше в сравнении с прошлым годом.</w:t>
      </w:r>
      <w:r w:rsidR="008857B9" w:rsidRPr="00B81884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а 2024 год в городе родился 1147 ребенка, что на 22 ребенка меньше, чем за 2023 год. Увеличилось число умерших на </w:t>
      </w:r>
      <w:r w:rsidR="00705262" w:rsidRPr="00B81884">
        <w:rPr>
          <w:rFonts w:ascii="Times New Roman" w:hAnsi="Times New Roman" w:cs="Times New Roman"/>
          <w:bCs/>
          <w:sz w:val="28"/>
          <w:szCs w:val="28"/>
        </w:rPr>
        <w:t>39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 человек и составило за 2024 год – 28</w:t>
      </w:r>
      <w:r w:rsidR="00705262" w:rsidRPr="00B81884">
        <w:rPr>
          <w:rFonts w:ascii="Times New Roman" w:hAnsi="Times New Roman" w:cs="Times New Roman"/>
          <w:bCs/>
          <w:sz w:val="28"/>
          <w:szCs w:val="28"/>
        </w:rPr>
        <w:t>64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 человек. На 1000 человек населения естественная убыль составила -</w:t>
      </w:r>
      <w:r w:rsidR="00705262" w:rsidRPr="00B81884">
        <w:rPr>
          <w:rFonts w:ascii="Times New Roman" w:hAnsi="Times New Roman" w:cs="Times New Roman"/>
          <w:bCs/>
          <w:sz w:val="28"/>
          <w:szCs w:val="28"/>
        </w:rPr>
        <w:t>10,0</w:t>
      </w:r>
      <w:r w:rsidRPr="00B81884">
        <w:rPr>
          <w:rFonts w:ascii="Times New Roman" w:hAnsi="Times New Roman" w:cs="Times New Roman"/>
          <w:bCs/>
          <w:sz w:val="28"/>
          <w:szCs w:val="28"/>
        </w:rPr>
        <w:t>.</w:t>
      </w:r>
    </w:p>
    <w:p w:rsidR="00FC54B3" w:rsidRDefault="00FC54B3" w:rsidP="00FC54B3">
      <w:pPr>
        <w:widowControl w:val="0"/>
        <w:spacing w:after="0"/>
        <w:ind w:firstLine="55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F00D0" w:rsidRDefault="007F00D0" w:rsidP="00FC54B3">
      <w:pPr>
        <w:widowControl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81884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6572250" cy="2565070"/>
            <wp:effectExtent l="0" t="0" r="0" b="698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F00D0" w:rsidRDefault="007F00D0" w:rsidP="00FC54B3">
      <w:pPr>
        <w:widowControl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65ABA" w:rsidRPr="00B81884" w:rsidRDefault="007F00D0" w:rsidP="00265A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884">
        <w:rPr>
          <w:rFonts w:ascii="Times New Roman" w:hAnsi="Times New Roman" w:cs="Times New Roman"/>
          <w:bCs/>
          <w:sz w:val="28"/>
          <w:szCs w:val="28"/>
        </w:rPr>
        <w:t xml:space="preserve">С целью максимального стимулирования рождаемости вводятся дополнительные меры. На федеральном уровне это выплата ежемесячных пособий на первого, второго, третьего и последующих детей, льготная ипотека для семей с детьми, строительство детских садов для детей до трех лет и другие. С 2019 года данные меры входят в национальный проект «Демография». </w:t>
      </w:r>
    </w:p>
    <w:p w:rsidR="007F00D0" w:rsidRPr="00B81884" w:rsidRDefault="007F00D0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884">
        <w:rPr>
          <w:rFonts w:ascii="Times New Roman" w:hAnsi="Times New Roman" w:cs="Times New Roman"/>
          <w:bCs/>
          <w:sz w:val="28"/>
          <w:szCs w:val="28"/>
        </w:rPr>
        <w:t>В 202</w:t>
      </w:r>
      <w:r w:rsidR="00265ABA" w:rsidRPr="00B81884">
        <w:rPr>
          <w:rFonts w:ascii="Times New Roman" w:hAnsi="Times New Roman" w:cs="Times New Roman"/>
          <w:bCs/>
          <w:sz w:val="28"/>
          <w:szCs w:val="28"/>
        </w:rPr>
        <w:t>4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 году на федеральном уровне были приняты следующие ключевые решения. Материнский капитал с 1 февраля 2024 года проиндексирован на 7,5 % и составил 630,4 тыс. рублей на первого ребенка и 833 тыс. рублей — на второго.</w:t>
      </w:r>
    </w:p>
    <w:p w:rsidR="007F00D0" w:rsidRPr="00B81884" w:rsidRDefault="007F00D0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884">
        <w:rPr>
          <w:rFonts w:ascii="Times New Roman" w:hAnsi="Times New Roman" w:cs="Times New Roman"/>
          <w:bCs/>
          <w:sz w:val="28"/>
          <w:szCs w:val="28"/>
        </w:rPr>
        <w:t>Помимо федерального материнского капитала</w:t>
      </w:r>
      <w:r w:rsidR="00265ABA" w:rsidRPr="00B81884">
        <w:rPr>
          <w:rFonts w:ascii="Times New Roman" w:hAnsi="Times New Roman" w:cs="Times New Roman"/>
          <w:bCs/>
          <w:sz w:val="28"/>
          <w:szCs w:val="28"/>
        </w:rPr>
        <w:t xml:space="preserve"> 630,4 </w:t>
      </w:r>
      <w:proofErr w:type="spellStart"/>
      <w:r w:rsidR="00265ABA" w:rsidRPr="00B81884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="00265ABA" w:rsidRPr="00B81884">
        <w:rPr>
          <w:rFonts w:ascii="Times New Roman" w:hAnsi="Times New Roman" w:cs="Times New Roman"/>
          <w:bCs/>
          <w:sz w:val="28"/>
          <w:szCs w:val="28"/>
        </w:rPr>
        <w:t>.</w:t>
      </w:r>
      <w:r w:rsidR="00265ABA" w:rsidRPr="00B81884">
        <w:rPr>
          <w:rFonts w:ascii="Times New Roman" w:hAnsi="Times New Roman" w:cs="Times New Roman"/>
          <w:sz w:val="28"/>
          <w:szCs w:val="28"/>
        </w:rPr>
        <w:t xml:space="preserve"> и выплаты в размере 450 тыс. руб. на погашение ипотеки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, в Кемеровской области - Кузбассе выплачивается региональный материнский капитал. Размер регионального материнского капитала в Кемеровской области - Кузбассе и прочих выплат в 2024 году 130 </w:t>
      </w:r>
      <w:proofErr w:type="spellStart"/>
      <w:r w:rsidRPr="00B81884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Pr="00B81884">
        <w:rPr>
          <w:rFonts w:ascii="Times New Roman" w:hAnsi="Times New Roman" w:cs="Times New Roman"/>
          <w:bCs/>
          <w:sz w:val="28"/>
          <w:szCs w:val="28"/>
        </w:rPr>
        <w:t>. маткапитал за рождение</w:t>
      </w:r>
      <w:r w:rsidR="00265ABA" w:rsidRPr="00B81884">
        <w:rPr>
          <w:rFonts w:ascii="Times New Roman" w:hAnsi="Times New Roman" w:cs="Times New Roman"/>
          <w:bCs/>
          <w:sz w:val="28"/>
          <w:szCs w:val="28"/>
        </w:rPr>
        <w:t xml:space="preserve"> (усыновление)</w:t>
      </w:r>
      <w:r w:rsidRPr="00B81884">
        <w:rPr>
          <w:rFonts w:ascii="Times New Roman" w:hAnsi="Times New Roman" w:cs="Times New Roman"/>
          <w:bCs/>
          <w:sz w:val="28"/>
          <w:szCs w:val="28"/>
        </w:rPr>
        <w:t xml:space="preserve"> третьего ребёнка или последующих детей.</w:t>
      </w:r>
    </w:p>
    <w:p w:rsidR="007F00D0" w:rsidRPr="00B81884" w:rsidRDefault="007F00D0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884">
        <w:rPr>
          <w:rFonts w:ascii="Times New Roman" w:hAnsi="Times New Roman" w:cs="Times New Roman"/>
          <w:bCs/>
          <w:sz w:val="28"/>
          <w:szCs w:val="28"/>
        </w:rPr>
        <w:t xml:space="preserve">С целью снижения смертности в городе реализуется ряд региональных программ в рамках национального проекта «Здравоохранение». </w:t>
      </w:r>
    </w:p>
    <w:p w:rsidR="007F00D0" w:rsidRPr="00B81884" w:rsidRDefault="007F00D0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884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региональной программы «Формирование системы мотивации граждан к здоровому образу жизни, включая питание и отказ от вредных привычек» в Детской городской больнице и Городской поликлинике работают Центры здоровья. В остальных медицинских организациях организованы кабинеты профилактики, основной целью которых является профилактические осмотры пациентов и формирование системы мотивации граждан к здоровому образу жизни, включая питание и отказ от вредных привычек. Ежегодно через центры здоровья и кабинеты профилактики проходит до 85% населения города. </w:t>
      </w:r>
    </w:p>
    <w:p w:rsidR="007F00D0" w:rsidRPr="00B81884" w:rsidRDefault="007F00D0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884">
        <w:rPr>
          <w:rFonts w:ascii="Times New Roman" w:hAnsi="Times New Roman" w:cs="Times New Roman"/>
          <w:bCs/>
          <w:sz w:val="28"/>
          <w:szCs w:val="28"/>
        </w:rPr>
        <w:t>В рамках региональной программы «Разработка и реализация программы системной поддержки и повышения качества жизни граждан старшего поколения» во всех амбулаторно-поликлинических учреждениях города совместно с социальными службами внедрена система долговременного ухода.</w:t>
      </w:r>
    </w:p>
    <w:p w:rsidR="007F00D0" w:rsidRPr="00B81884" w:rsidRDefault="007F00D0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1884">
        <w:rPr>
          <w:rFonts w:ascii="Times New Roman" w:hAnsi="Times New Roman" w:cs="Times New Roman"/>
          <w:bCs/>
          <w:sz w:val="28"/>
          <w:szCs w:val="28"/>
        </w:rPr>
        <w:t>Действующие демографические меры постоянно пересматриваются и расширяются.</w:t>
      </w:r>
    </w:p>
    <w:p w:rsidR="007F00D0" w:rsidRPr="00B81884" w:rsidRDefault="007F00D0" w:rsidP="006322A0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884">
        <w:rPr>
          <w:rFonts w:ascii="Times New Roman" w:hAnsi="Times New Roman" w:cs="Times New Roman"/>
          <w:b/>
          <w:bCs/>
          <w:sz w:val="28"/>
          <w:szCs w:val="28"/>
        </w:rPr>
        <w:t>РЫНОК ТРУДА</w:t>
      </w:r>
    </w:p>
    <w:p w:rsidR="007F00D0" w:rsidRPr="00B81884" w:rsidRDefault="007F00D0" w:rsidP="00FC54B3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81884">
        <w:rPr>
          <w:rFonts w:ascii="Times New Roman" w:hAnsi="Times New Roman" w:cs="Times New Roman"/>
          <w:sz w:val="28"/>
          <w:szCs w:val="28"/>
        </w:rPr>
        <w:t xml:space="preserve">Трудовые ресурсы — это часть населения, обладающая совокупностью физических возможностей, знаний и практического опыта. Трудовые ресурсы включают в себя все трудоспособное население в возрасте от 16 до 60 лет - для женщин и от 16 до 65 лет - для мужчин, а также лиц старше и моложе трудоспособного возраста, фактически занятых в народном хозяйстве (работающие пенсионеры и школьники) и занимают </w:t>
      </w:r>
      <w:r w:rsidR="002C70B2" w:rsidRPr="00B81884">
        <w:rPr>
          <w:rFonts w:ascii="Times New Roman" w:hAnsi="Times New Roman" w:cs="Times New Roman"/>
          <w:sz w:val="28"/>
          <w:szCs w:val="28"/>
        </w:rPr>
        <w:t>55,9</w:t>
      </w:r>
      <w:r w:rsidRPr="00B81884">
        <w:rPr>
          <w:rFonts w:ascii="Times New Roman" w:hAnsi="Times New Roman" w:cs="Times New Roman"/>
          <w:sz w:val="28"/>
          <w:szCs w:val="28"/>
        </w:rPr>
        <w:t xml:space="preserve"> % от численности населения и составили 9</w:t>
      </w:r>
      <w:r w:rsidR="002C70B2" w:rsidRPr="00B81884">
        <w:rPr>
          <w:rFonts w:ascii="Times New Roman" w:hAnsi="Times New Roman" w:cs="Times New Roman"/>
          <w:sz w:val="28"/>
          <w:szCs w:val="28"/>
        </w:rPr>
        <w:t>5,350</w:t>
      </w:r>
      <w:r w:rsidRPr="00B818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1884">
        <w:rPr>
          <w:rFonts w:ascii="Times New Roman" w:hAnsi="Times New Roman" w:cs="Times New Roman"/>
          <w:sz w:val="28"/>
          <w:szCs w:val="28"/>
        </w:rPr>
        <w:t>тыс.чел</w:t>
      </w:r>
      <w:proofErr w:type="spellEnd"/>
      <w:r w:rsidR="00EA20F4" w:rsidRPr="00B81884">
        <w:rPr>
          <w:rFonts w:ascii="Times New Roman" w:hAnsi="Times New Roman" w:cs="Times New Roman"/>
          <w:sz w:val="28"/>
          <w:szCs w:val="28"/>
        </w:rPr>
        <w:t>.</w:t>
      </w:r>
    </w:p>
    <w:p w:rsidR="00686E44" w:rsidRPr="00B81884" w:rsidRDefault="007F00D0" w:rsidP="009164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1884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B81884">
        <w:rPr>
          <w:rFonts w:ascii="Times New Roman" w:hAnsi="Times New Roman" w:cs="Times New Roman"/>
          <w:sz w:val="28"/>
          <w:szCs w:val="28"/>
        </w:rPr>
        <w:t>Кемеровостата</w:t>
      </w:r>
      <w:proofErr w:type="spellEnd"/>
      <w:r w:rsidRPr="00B81884">
        <w:rPr>
          <w:rFonts w:ascii="Times New Roman" w:hAnsi="Times New Roman" w:cs="Times New Roman"/>
          <w:sz w:val="28"/>
          <w:szCs w:val="28"/>
        </w:rPr>
        <w:t xml:space="preserve"> </w:t>
      </w:r>
      <w:r w:rsidR="005D6AE2" w:rsidRPr="00B81884">
        <w:rPr>
          <w:rFonts w:ascii="Times New Roman" w:hAnsi="Times New Roman" w:cs="Times New Roman"/>
          <w:sz w:val="28"/>
          <w:szCs w:val="28"/>
        </w:rPr>
        <w:t xml:space="preserve">численность занятых на крупных, средних и малых организациях по итогам 2024 года сохранилась на прежнем уровне и составила 34,03 тыс. чел. (2023 год – 34,04 тыс. чел.). Снижение численности произошло на предприятиях угольной промышленности на 89 чел., по обеспечению электрической энергией, газом и паром, кондиционированию воздуха на 70 чел., на предприятиях сферы транспортировки и хранения на 237 чел., в области здравоохранения и социальных услуг на 246 чел., в области культуры, спорта, организации досуга и развлечений на 319 чел. и др.  Наряду с этим, произошел рост численности работающих на предприятиях обрабатывающих производств на 141 чел., в образовании на 269 чел., в торговле оптовой и розничной на 109 чел., в строительстве на 133 чел. и др. </w:t>
      </w:r>
    </w:p>
    <w:p w:rsidR="00686E44" w:rsidRPr="00B81884" w:rsidRDefault="00686E44" w:rsidP="00965B7F">
      <w:pPr>
        <w:pStyle w:val="a5"/>
        <w:tabs>
          <w:tab w:val="clear" w:pos="4677"/>
          <w:tab w:val="clear" w:pos="9355"/>
        </w:tabs>
        <w:suppressAutoHyphens w:val="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884">
        <w:rPr>
          <w:rFonts w:ascii="Times New Roman" w:hAnsi="Times New Roman" w:cs="Times New Roman"/>
          <w:b/>
          <w:bCs/>
          <w:sz w:val="28"/>
          <w:szCs w:val="28"/>
        </w:rPr>
        <w:t>Численность занятых на крупных и средних предприятиях</w:t>
      </w:r>
    </w:p>
    <w:tbl>
      <w:tblPr>
        <w:tblW w:w="10454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1"/>
        <w:gridCol w:w="1276"/>
        <w:gridCol w:w="1134"/>
        <w:gridCol w:w="973"/>
      </w:tblGrid>
      <w:tr w:rsidR="00686E44" w:rsidRPr="00E3346C" w:rsidTr="006322A0">
        <w:trPr>
          <w:trHeight w:val="521"/>
          <w:tblHeader/>
        </w:trPr>
        <w:tc>
          <w:tcPr>
            <w:tcW w:w="70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Виды экономической деятельности</w:t>
            </w:r>
          </w:p>
        </w:tc>
        <w:tc>
          <w:tcPr>
            <w:tcW w:w="33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686E44" w:rsidRPr="00E3346C" w:rsidRDefault="00686E44" w:rsidP="006322A0">
            <w:pPr>
              <w:pStyle w:val="aa"/>
              <w:widowControl w:val="0"/>
              <w:ind w:left="-1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 xml:space="preserve">Среднесписочная </w:t>
            </w:r>
            <w:proofErr w:type="spellStart"/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числ</w:t>
            </w:r>
            <w:r w:rsidR="006322A0">
              <w:rPr>
                <w:rFonts w:ascii="Times New Roman" w:hAnsi="Times New Roman"/>
                <w:bCs/>
                <w:sz w:val="26"/>
                <w:szCs w:val="26"/>
              </w:rPr>
              <w:t>-ть</w:t>
            </w:r>
            <w:proofErr w:type="spellEnd"/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 xml:space="preserve"> работников, чел.</w:t>
            </w:r>
          </w:p>
        </w:tc>
      </w:tr>
      <w:tr w:rsidR="00686E44" w:rsidRPr="00E3346C" w:rsidTr="006322A0">
        <w:trPr>
          <w:trHeight w:val="231"/>
          <w:tblHeader/>
        </w:trPr>
        <w:tc>
          <w:tcPr>
            <w:tcW w:w="70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686E44" w:rsidRPr="00E3346C" w:rsidRDefault="00686E44" w:rsidP="006322A0">
            <w:pPr>
              <w:pStyle w:val="aa"/>
              <w:widowControl w:val="0"/>
              <w:ind w:left="-110" w:right="-10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686E44" w:rsidRPr="00E3346C" w:rsidRDefault="00686E44" w:rsidP="006322A0">
            <w:pPr>
              <w:pStyle w:val="aa"/>
              <w:widowControl w:val="0"/>
              <w:ind w:left="-100" w:right="-115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2024 год</w:t>
            </w:r>
          </w:p>
        </w:tc>
        <w:tc>
          <w:tcPr>
            <w:tcW w:w="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5" w:themeFillTint="33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%</w:t>
            </w:r>
          </w:p>
        </w:tc>
      </w:tr>
      <w:tr w:rsidR="00686E44" w:rsidRPr="00E3346C" w:rsidTr="006322A0">
        <w:trPr>
          <w:trHeight w:val="57"/>
        </w:trPr>
        <w:tc>
          <w:tcPr>
            <w:tcW w:w="7071" w:type="dxa"/>
            <w:tcBorders>
              <w:top w:val="double" w:sz="4" w:space="0" w:color="auto"/>
            </w:tcBorders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 xml:space="preserve"> 25 794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25 476</w:t>
            </w:r>
          </w:p>
        </w:tc>
        <w:tc>
          <w:tcPr>
            <w:tcW w:w="973" w:type="dxa"/>
            <w:tcBorders>
              <w:top w:val="double" w:sz="4" w:space="0" w:color="auto"/>
            </w:tcBorders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98,8</w:t>
            </w:r>
          </w:p>
        </w:tc>
      </w:tr>
      <w:tr w:rsidR="00686E44" w:rsidRPr="00E3346C" w:rsidTr="006322A0">
        <w:trPr>
          <w:trHeight w:val="86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в т.ч. промышленность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686E44" w:rsidRPr="00E3346C" w:rsidTr="006322A0">
        <w:trPr>
          <w:trHeight w:val="275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Добыча полезных ископаемых</w:t>
            </w:r>
          </w:p>
        </w:tc>
        <w:tc>
          <w:tcPr>
            <w:tcW w:w="1276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2 405</w:t>
            </w:r>
          </w:p>
        </w:tc>
        <w:tc>
          <w:tcPr>
            <w:tcW w:w="1134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2 316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96,3</w:t>
            </w:r>
          </w:p>
        </w:tc>
      </w:tr>
      <w:tr w:rsidR="00686E44" w:rsidRPr="00E3346C" w:rsidTr="006322A0">
        <w:trPr>
          <w:trHeight w:val="224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Обрабатывающие производства</w:t>
            </w:r>
          </w:p>
        </w:tc>
        <w:tc>
          <w:tcPr>
            <w:tcW w:w="1276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1 171</w:t>
            </w:r>
          </w:p>
        </w:tc>
        <w:tc>
          <w:tcPr>
            <w:tcW w:w="1134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1 312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112,0</w:t>
            </w:r>
          </w:p>
        </w:tc>
      </w:tr>
      <w:tr w:rsidR="00686E44" w:rsidRPr="00E3346C" w:rsidTr="006322A0">
        <w:trPr>
          <w:trHeight w:val="499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2 276</w:t>
            </w:r>
          </w:p>
        </w:tc>
        <w:tc>
          <w:tcPr>
            <w:tcW w:w="1134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2 206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96,9</w:t>
            </w:r>
          </w:p>
        </w:tc>
      </w:tr>
      <w:tr w:rsidR="00686E44" w:rsidRPr="00E3346C" w:rsidTr="006322A0">
        <w:trPr>
          <w:trHeight w:val="224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Водоснабжение, водоотведение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</w:p>
        </w:tc>
      </w:tr>
      <w:tr w:rsidR="00686E44" w:rsidRPr="00E3346C" w:rsidTr="006322A0">
        <w:trPr>
          <w:trHeight w:val="67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Строительство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497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630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126,9</w:t>
            </w:r>
          </w:p>
        </w:tc>
      </w:tr>
      <w:tr w:rsidR="00686E44" w:rsidRPr="00E3346C" w:rsidTr="006322A0">
        <w:trPr>
          <w:trHeight w:val="389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Оптовая и розничная торговля, ремонт автотранспортных средств, мотоциклов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1 529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1 638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107,1</w:t>
            </w:r>
          </w:p>
        </w:tc>
      </w:tr>
      <w:tr w:rsidR="00686E44" w:rsidRPr="00E3346C" w:rsidTr="006322A0">
        <w:trPr>
          <w:trHeight w:val="158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Транспортировка и хранение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2 825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2 588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91,6</w:t>
            </w:r>
          </w:p>
        </w:tc>
      </w:tr>
      <w:tr w:rsidR="00686E44" w:rsidRPr="00E3346C" w:rsidTr="006322A0">
        <w:trPr>
          <w:trHeight w:val="67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64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133,7</w:t>
            </w:r>
          </w:p>
        </w:tc>
      </w:tr>
      <w:tr w:rsidR="00686E44" w:rsidRPr="00E3346C" w:rsidTr="006322A0">
        <w:trPr>
          <w:trHeight w:val="196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 xml:space="preserve">Деятельность в области информации и связи 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160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155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96,9</w:t>
            </w:r>
          </w:p>
        </w:tc>
      </w:tr>
      <w:tr w:rsidR="00686E44" w:rsidRPr="00E3346C" w:rsidTr="006322A0">
        <w:trPr>
          <w:trHeight w:val="67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Деятельность финансовая и страховая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190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176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92,7</w:t>
            </w:r>
          </w:p>
        </w:tc>
      </w:tr>
      <w:tr w:rsidR="00686E44" w:rsidRPr="00E3346C" w:rsidTr="006322A0">
        <w:trPr>
          <w:trHeight w:val="92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 xml:space="preserve">Деятельность по операциям с недвижимым имуществом 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173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203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117,3</w:t>
            </w:r>
          </w:p>
        </w:tc>
      </w:tr>
      <w:tr w:rsidR="00686E44" w:rsidRPr="00E3346C" w:rsidTr="006322A0">
        <w:trPr>
          <w:trHeight w:val="67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339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356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105,0</w:t>
            </w:r>
          </w:p>
        </w:tc>
      </w:tr>
      <w:tr w:rsidR="00686E44" w:rsidRPr="00E3346C" w:rsidTr="006322A0">
        <w:trPr>
          <w:trHeight w:val="116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Деятельность административная и сопутствующие доп</w:t>
            </w:r>
            <w:r w:rsidR="00916429" w:rsidRPr="00E3346C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 xml:space="preserve"> услуги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462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457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99,0</w:t>
            </w:r>
          </w:p>
        </w:tc>
      </w:tr>
      <w:tr w:rsidR="00686E44" w:rsidRPr="00E3346C" w:rsidTr="006322A0">
        <w:trPr>
          <w:trHeight w:val="168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Государственное управление и обеспечение военной безопасности, социальное обеспечение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2 574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ind w:left="-102" w:right="-108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2 511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97,6</w:t>
            </w:r>
          </w:p>
        </w:tc>
      </w:tr>
      <w:tr w:rsidR="00686E44" w:rsidRPr="00E3346C" w:rsidTr="006322A0">
        <w:trPr>
          <w:trHeight w:val="67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4 411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4 680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106,1</w:t>
            </w:r>
          </w:p>
        </w:tc>
      </w:tr>
      <w:tr w:rsidR="00686E44" w:rsidRPr="00E3346C" w:rsidTr="006322A0">
        <w:trPr>
          <w:trHeight w:val="360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5 070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4 824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95,1</w:t>
            </w:r>
          </w:p>
        </w:tc>
      </w:tr>
      <w:tr w:rsidR="00686E44" w:rsidRPr="00E3346C" w:rsidTr="006322A0">
        <w:trPr>
          <w:trHeight w:val="113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1 043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 xml:space="preserve"> 724</w:t>
            </w:r>
          </w:p>
        </w:tc>
        <w:tc>
          <w:tcPr>
            <w:tcW w:w="973" w:type="dxa"/>
            <w:shd w:val="clear" w:color="auto" w:fill="FFFFFF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69,4</w:t>
            </w:r>
          </w:p>
        </w:tc>
      </w:tr>
      <w:tr w:rsidR="00686E44" w:rsidRPr="00E3346C" w:rsidTr="006322A0">
        <w:trPr>
          <w:trHeight w:val="176"/>
        </w:trPr>
        <w:tc>
          <w:tcPr>
            <w:tcW w:w="7071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Предоставление прочих услуг</w:t>
            </w:r>
          </w:p>
        </w:tc>
        <w:tc>
          <w:tcPr>
            <w:tcW w:w="1276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FFFFFF"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42</w:t>
            </w:r>
          </w:p>
        </w:tc>
        <w:tc>
          <w:tcPr>
            <w:tcW w:w="973" w:type="dxa"/>
            <w:noWrap/>
          </w:tcPr>
          <w:p w:rsidR="00686E44" w:rsidRPr="00E3346C" w:rsidRDefault="00686E44" w:rsidP="006322A0">
            <w:pPr>
              <w:pStyle w:val="aa"/>
              <w:widowControl w:val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3346C">
              <w:rPr>
                <w:rFonts w:ascii="Times New Roman" w:hAnsi="Times New Roman"/>
                <w:bCs/>
                <w:sz w:val="26"/>
                <w:szCs w:val="26"/>
              </w:rPr>
              <w:t>87,4</w:t>
            </w:r>
          </w:p>
        </w:tc>
      </w:tr>
    </w:tbl>
    <w:p w:rsidR="00E3346C" w:rsidRPr="00E3346C" w:rsidRDefault="00E3346C" w:rsidP="00965B7F">
      <w:pPr>
        <w:widowControl w:val="0"/>
        <w:spacing w:before="240"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6C">
        <w:rPr>
          <w:rFonts w:ascii="Times New Roman" w:hAnsi="Times New Roman" w:cs="Times New Roman"/>
          <w:sz w:val="28"/>
          <w:szCs w:val="28"/>
        </w:rPr>
        <w:t>Уровень зарегистрированной безработицы (к численности трудоспособного населения) на 01.01.2025г. составил 0,1</w:t>
      </w:r>
      <w:r w:rsidR="00C06FB0">
        <w:rPr>
          <w:rFonts w:ascii="Times New Roman" w:hAnsi="Times New Roman" w:cs="Times New Roman"/>
          <w:sz w:val="28"/>
          <w:szCs w:val="28"/>
        </w:rPr>
        <w:t>5</w:t>
      </w:r>
      <w:r w:rsidRPr="00E3346C">
        <w:rPr>
          <w:rFonts w:ascii="Times New Roman" w:hAnsi="Times New Roman" w:cs="Times New Roman"/>
          <w:sz w:val="28"/>
          <w:szCs w:val="28"/>
        </w:rPr>
        <w:t xml:space="preserve"> %, что на 0,</w:t>
      </w:r>
      <w:r w:rsidR="00C06FB0">
        <w:rPr>
          <w:rFonts w:ascii="Times New Roman" w:hAnsi="Times New Roman" w:cs="Times New Roman"/>
          <w:sz w:val="28"/>
          <w:szCs w:val="28"/>
        </w:rPr>
        <w:t>05</w:t>
      </w:r>
      <w:r w:rsidRPr="00E3346C">
        <w:rPr>
          <w:rFonts w:ascii="Times New Roman" w:hAnsi="Times New Roman" w:cs="Times New Roman"/>
          <w:sz w:val="28"/>
          <w:szCs w:val="28"/>
        </w:rPr>
        <w:t xml:space="preserve"> процентных пункта </w:t>
      </w:r>
      <w:r w:rsidR="00AB6BE5" w:rsidRPr="00E3346C">
        <w:rPr>
          <w:rFonts w:ascii="Times New Roman" w:hAnsi="Times New Roman" w:cs="Times New Roman"/>
          <w:sz w:val="28"/>
          <w:szCs w:val="28"/>
        </w:rPr>
        <w:t>ниже,</w:t>
      </w:r>
      <w:r w:rsidRPr="00E3346C">
        <w:rPr>
          <w:rFonts w:ascii="Times New Roman" w:hAnsi="Times New Roman" w:cs="Times New Roman"/>
          <w:sz w:val="28"/>
          <w:szCs w:val="28"/>
        </w:rPr>
        <w:t xml:space="preserve"> </w:t>
      </w:r>
      <w:r w:rsidR="00A4076D">
        <w:rPr>
          <w:rFonts w:ascii="Times New Roman" w:hAnsi="Times New Roman" w:cs="Times New Roman"/>
          <w:sz w:val="28"/>
          <w:szCs w:val="28"/>
        </w:rPr>
        <w:t xml:space="preserve">чем </w:t>
      </w:r>
      <w:r w:rsidRPr="00E3346C">
        <w:rPr>
          <w:rFonts w:ascii="Times New Roman" w:hAnsi="Times New Roman" w:cs="Times New Roman"/>
          <w:sz w:val="28"/>
          <w:szCs w:val="28"/>
        </w:rPr>
        <w:t>на 01.01.202</w:t>
      </w:r>
      <w:r w:rsidR="00A4076D">
        <w:rPr>
          <w:rFonts w:ascii="Times New Roman" w:hAnsi="Times New Roman" w:cs="Times New Roman"/>
          <w:sz w:val="28"/>
          <w:szCs w:val="28"/>
        </w:rPr>
        <w:t>4</w:t>
      </w:r>
      <w:r w:rsidRPr="00E3346C">
        <w:rPr>
          <w:rFonts w:ascii="Times New Roman" w:hAnsi="Times New Roman" w:cs="Times New Roman"/>
          <w:sz w:val="28"/>
          <w:szCs w:val="28"/>
        </w:rPr>
        <w:t xml:space="preserve">. Число безработных граждан, стоящих на учете в ЦЗН – 287 человек. Средняя продолжительность безработицы составляет 3,5 месяца. </w:t>
      </w:r>
    </w:p>
    <w:p w:rsidR="00E3346C" w:rsidRPr="00E3346C" w:rsidRDefault="00E3346C" w:rsidP="00E3346C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6C">
        <w:rPr>
          <w:rFonts w:ascii="Times New Roman" w:hAnsi="Times New Roman" w:cs="Times New Roman"/>
          <w:sz w:val="28"/>
          <w:szCs w:val="28"/>
        </w:rPr>
        <w:t>Общее число вакансий в банке данных ЦЗН на 15.01.25г - 1712.</w:t>
      </w:r>
    </w:p>
    <w:p w:rsidR="00E3346C" w:rsidRPr="00E3346C" w:rsidRDefault="00E3346C" w:rsidP="00E3346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6C">
        <w:rPr>
          <w:rFonts w:ascii="Times New Roman" w:hAnsi="Times New Roman" w:cs="Times New Roman"/>
          <w:sz w:val="28"/>
          <w:szCs w:val="28"/>
        </w:rPr>
        <w:t>В 2024 году в ГКУ ЦЗН г. Прокопьевска было проведено 9 мини – ярмарок вакансий с представителями работодателей: ООО «</w:t>
      </w:r>
      <w:proofErr w:type="spellStart"/>
      <w:r w:rsidRPr="00E3346C">
        <w:rPr>
          <w:rFonts w:ascii="Times New Roman" w:hAnsi="Times New Roman" w:cs="Times New Roman"/>
          <w:sz w:val="28"/>
          <w:szCs w:val="28"/>
        </w:rPr>
        <w:t>Электропром</w:t>
      </w:r>
      <w:proofErr w:type="spellEnd"/>
      <w:r w:rsidRPr="00E3346C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3346C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E3346C">
        <w:rPr>
          <w:rFonts w:ascii="Times New Roman" w:hAnsi="Times New Roman" w:cs="Times New Roman"/>
          <w:sz w:val="28"/>
          <w:szCs w:val="28"/>
        </w:rPr>
        <w:t xml:space="preserve"> филиал ФГКУ «УВО ВНГ России по КО», Филиал ГПК "ПАТ" г. Прокопьевск",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3346C">
        <w:rPr>
          <w:rFonts w:ascii="Times New Roman" w:hAnsi="Times New Roman" w:cs="Times New Roman"/>
          <w:sz w:val="28"/>
          <w:szCs w:val="28"/>
        </w:rPr>
        <w:t xml:space="preserve"> ООО "ЗАВОД "ГОРЭКС-СВЕТОТЕХНИКА", МУП "ГЭТ", ООО "Санаторий "Шахтер (2 раза), Отдел судебных приставов по г. Прокопьевску и </w:t>
      </w:r>
      <w:proofErr w:type="spellStart"/>
      <w:r w:rsidRPr="00E3346C">
        <w:rPr>
          <w:rFonts w:ascii="Times New Roman" w:hAnsi="Times New Roman" w:cs="Times New Roman"/>
          <w:sz w:val="28"/>
          <w:szCs w:val="28"/>
        </w:rPr>
        <w:t>Прокопьевскому</w:t>
      </w:r>
      <w:proofErr w:type="spellEnd"/>
      <w:r w:rsidRPr="00E3346C">
        <w:rPr>
          <w:rFonts w:ascii="Times New Roman" w:hAnsi="Times New Roman" w:cs="Times New Roman"/>
          <w:sz w:val="28"/>
          <w:szCs w:val="28"/>
        </w:rPr>
        <w:t xml:space="preserve"> району, Агентства недвижимости "Этажи".</w:t>
      </w:r>
    </w:p>
    <w:p w:rsidR="00E3346C" w:rsidRPr="00E3346C" w:rsidRDefault="00E3346C" w:rsidP="00E3346C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6C">
        <w:rPr>
          <w:rFonts w:ascii="Times New Roman" w:hAnsi="Times New Roman" w:cs="Times New Roman"/>
          <w:sz w:val="28"/>
          <w:szCs w:val="28"/>
        </w:rPr>
        <w:t>Также было проведено 2 этапа Всероссийской ярмарки трудоустройства и 1 многопрофильная ярмарка вакансий с участием нескольких работодателей.</w:t>
      </w:r>
    </w:p>
    <w:p w:rsidR="00E3346C" w:rsidRDefault="00E3346C" w:rsidP="00A316D8">
      <w:pPr>
        <w:spacing w:after="0"/>
        <w:ind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E3346C" w:rsidRDefault="00E3346C" w:rsidP="00E3346C">
      <w:pPr>
        <w:spacing w:after="0"/>
        <w:ind w:hanging="142"/>
        <w:jc w:val="center"/>
        <w:rPr>
          <w:rFonts w:ascii="Times New Roman" w:hAnsi="Times New Roman" w:cs="Times New Roman"/>
          <w:sz w:val="26"/>
          <w:szCs w:val="26"/>
        </w:rPr>
      </w:pPr>
      <w:r w:rsidRPr="00E3346C">
        <w:rPr>
          <w:rFonts w:ascii="Times New Roman" w:hAnsi="Times New Roman" w:cs="Times New Roman"/>
          <w:b/>
          <w:bCs/>
          <w:sz w:val="26"/>
          <w:szCs w:val="26"/>
        </w:rPr>
        <w:t>Структура численности занятых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3346C">
        <w:rPr>
          <w:rFonts w:ascii="Times New Roman" w:hAnsi="Times New Roman" w:cs="Times New Roman"/>
          <w:b/>
          <w:bCs/>
          <w:sz w:val="26"/>
          <w:szCs w:val="26"/>
        </w:rPr>
        <w:t>на крупных и средних организациях</w:t>
      </w:r>
    </w:p>
    <w:p w:rsidR="00E3346C" w:rsidRDefault="00965B7F" w:rsidP="00A316D8">
      <w:pPr>
        <w:spacing w:after="0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0F2C8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F0D2DEC" wp14:editId="27A78C14">
            <wp:extent cx="6570980" cy="4572000"/>
            <wp:effectExtent l="0" t="0" r="127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127D8" w:rsidRPr="005E5581" w:rsidRDefault="006127D8" w:rsidP="00965B7F">
      <w:pPr>
        <w:widowControl w:val="0"/>
        <w:spacing w:after="0" w:line="276" w:lineRule="auto"/>
        <w:ind w:firstLine="567"/>
        <w:jc w:val="center"/>
        <w:rPr>
          <w:sz w:val="28"/>
          <w:szCs w:val="28"/>
        </w:rPr>
      </w:pPr>
      <w:r w:rsidRPr="005E5581">
        <w:rPr>
          <w:rFonts w:ascii="Times New Roman" w:hAnsi="Times New Roman" w:cs="Times New Roman"/>
          <w:b/>
          <w:bCs/>
          <w:sz w:val="28"/>
          <w:szCs w:val="28"/>
        </w:rPr>
        <w:t>ИСПОЛНЕНИЕ БЮДЖЕТА</w:t>
      </w:r>
    </w:p>
    <w:p w:rsidR="004002A2" w:rsidRPr="005E5581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На 2024 год в соответствии с Законом Кемеровской области - Кузбасса </w:t>
      </w:r>
      <w:r w:rsidR="005E558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E5581">
        <w:rPr>
          <w:rFonts w:ascii="Times New Roman" w:hAnsi="Times New Roman" w:cs="Times New Roman"/>
          <w:sz w:val="28"/>
          <w:szCs w:val="28"/>
        </w:rPr>
        <w:t>от 14.12.2023 № 117-ОЗ «Об областной бюджете на 2024 год и на плановый период 2025 и 2026 годов» в результате дифференциации нормативов в доходной части местного бюджета:</w:t>
      </w:r>
    </w:p>
    <w:p w:rsidR="004002A2" w:rsidRPr="005E5581" w:rsidRDefault="004002A2" w:rsidP="004002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утвержден норматив отчислений по НДФЛ в размере 46,46 % (15% по НК РФ, 31,46% по дополнительному нормативу),  </w:t>
      </w:r>
    </w:p>
    <w:p w:rsidR="004002A2" w:rsidRPr="005E5581" w:rsidRDefault="004002A2" w:rsidP="004002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включены отчисления от акцизов на автомобильный и прямогонный </w:t>
      </w:r>
      <w:r w:rsidR="005E558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5E5581">
        <w:rPr>
          <w:rFonts w:ascii="Times New Roman" w:hAnsi="Times New Roman" w:cs="Times New Roman"/>
          <w:sz w:val="28"/>
          <w:szCs w:val="28"/>
        </w:rPr>
        <w:t xml:space="preserve">бензин – 0,1411% (в зависимости от доли протяженности автомобильных дорог), </w:t>
      </w:r>
    </w:p>
    <w:p w:rsidR="004002A2" w:rsidRPr="005E5581" w:rsidRDefault="004002A2" w:rsidP="004002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включены отчисления от налога, взимаемого в связи с применением упрощенной системы налогообложения – 3,79%</w:t>
      </w:r>
    </w:p>
    <w:p w:rsidR="004002A2" w:rsidRPr="005E5581" w:rsidRDefault="004002A2" w:rsidP="004002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норматив распределения по транспортному налогу – 5%.</w:t>
      </w:r>
    </w:p>
    <w:p w:rsidR="006127D8" w:rsidRPr="005E5581" w:rsidRDefault="004002A2" w:rsidP="004002A2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В 2024 году структура доходов местного бюджета распределена следующим образом: налоговые доходы занимают –16,2%, неналоговые доходы – 3,5%, значительная доля – 80,3% приходится на безвозмездные поступления.</w:t>
      </w:r>
    </w:p>
    <w:p w:rsidR="00EB4A11" w:rsidRDefault="00EB4A11" w:rsidP="004002A2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127D8" w:rsidRDefault="00EB3242" w:rsidP="00FC54B3">
      <w:pPr>
        <w:widowControl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672E4">
        <w:rPr>
          <w:rFonts w:ascii="Times New Roman" w:hAnsi="Times New Roman" w:cs="Times New Roman"/>
          <w:noProof/>
          <w:sz w:val="26"/>
          <w:szCs w:val="26"/>
          <w:highlight w:val="yellow"/>
        </w:rPr>
        <w:drawing>
          <wp:inline distT="0" distB="0" distL="0" distR="0" wp14:anchorId="01AA9125" wp14:editId="078EE46E">
            <wp:extent cx="6551295" cy="2381250"/>
            <wp:effectExtent l="0" t="0" r="190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44189" w:rsidRDefault="00C44189" w:rsidP="00FC54B3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A6F06" w:rsidRDefault="006127D8" w:rsidP="00FC54B3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41AC">
        <w:rPr>
          <w:rFonts w:ascii="Times New Roman" w:hAnsi="Times New Roman" w:cs="Times New Roman"/>
          <w:b/>
          <w:bCs/>
          <w:sz w:val="26"/>
          <w:szCs w:val="26"/>
        </w:rPr>
        <w:t>Динамика доходной части местного бюджета, тыс.</w:t>
      </w:r>
      <w:r w:rsidR="00891C1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E41AC">
        <w:rPr>
          <w:rFonts w:ascii="Times New Roman" w:hAnsi="Times New Roman" w:cs="Times New Roman"/>
          <w:b/>
          <w:bCs/>
          <w:sz w:val="26"/>
          <w:szCs w:val="26"/>
        </w:rPr>
        <w:t>руб.</w:t>
      </w:r>
    </w:p>
    <w:tbl>
      <w:tblPr>
        <w:tblStyle w:val="-211"/>
        <w:tblW w:w="1067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356"/>
        <w:gridCol w:w="1244"/>
        <w:gridCol w:w="1283"/>
        <w:gridCol w:w="1546"/>
        <w:gridCol w:w="812"/>
        <w:gridCol w:w="1328"/>
      </w:tblGrid>
      <w:tr w:rsidR="006127D8" w:rsidRPr="0011375B" w:rsidTr="00965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right="-219"/>
              <w:jc w:val="center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Вид налога</w:t>
            </w: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112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202</w:t>
            </w:r>
            <w:r w:rsidR="00105832" w:rsidRPr="0011375B">
              <w:rPr>
                <w:b w:val="0"/>
                <w:bCs w:val="0"/>
                <w:sz w:val="24"/>
                <w:szCs w:val="24"/>
              </w:rPr>
              <w:t>3</w:t>
            </w:r>
            <w:r w:rsidRPr="0011375B">
              <w:rPr>
                <w:b w:val="0"/>
                <w:bCs w:val="0"/>
                <w:sz w:val="24"/>
                <w:szCs w:val="24"/>
              </w:rPr>
              <w:t xml:space="preserve"> год</w:t>
            </w:r>
          </w:p>
        </w:tc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202</w:t>
            </w:r>
            <w:r w:rsidR="00105832" w:rsidRPr="0011375B">
              <w:rPr>
                <w:b w:val="0"/>
                <w:bCs w:val="0"/>
                <w:sz w:val="24"/>
                <w:szCs w:val="24"/>
              </w:rPr>
              <w:t>4</w:t>
            </w:r>
            <w:r w:rsidRPr="0011375B">
              <w:rPr>
                <w:b w:val="0"/>
                <w:bCs w:val="0"/>
                <w:sz w:val="24"/>
                <w:szCs w:val="24"/>
              </w:rPr>
              <w:t xml:space="preserve"> год</w:t>
            </w:r>
          </w:p>
        </w:tc>
        <w:tc>
          <w:tcPr>
            <w:tcW w:w="13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70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Отношение 202</w:t>
            </w:r>
            <w:r w:rsidR="00105832" w:rsidRPr="0011375B">
              <w:rPr>
                <w:b w:val="0"/>
                <w:bCs w:val="0"/>
                <w:sz w:val="24"/>
                <w:szCs w:val="24"/>
              </w:rPr>
              <w:t>4</w:t>
            </w:r>
            <w:r w:rsidRPr="0011375B">
              <w:rPr>
                <w:b w:val="0"/>
                <w:bCs w:val="0"/>
                <w:sz w:val="24"/>
                <w:szCs w:val="24"/>
              </w:rPr>
              <w:t xml:space="preserve"> к 202</w:t>
            </w:r>
            <w:r w:rsidR="00105832" w:rsidRPr="0011375B">
              <w:rPr>
                <w:b w:val="0"/>
                <w:bCs w:val="0"/>
                <w:sz w:val="24"/>
                <w:szCs w:val="24"/>
              </w:rPr>
              <w:t>3</w:t>
            </w:r>
            <w:r w:rsidRPr="0011375B">
              <w:rPr>
                <w:b w:val="0"/>
                <w:bCs w:val="0"/>
                <w:sz w:val="24"/>
                <w:szCs w:val="24"/>
              </w:rPr>
              <w:t>, %</w:t>
            </w:r>
          </w:p>
        </w:tc>
      </w:tr>
      <w:tr w:rsidR="00B7746B" w:rsidRPr="0011375B" w:rsidTr="00965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112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Исполнено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111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Бюджет на 202</w:t>
            </w:r>
            <w:r w:rsidR="00105832" w:rsidRPr="0011375B">
              <w:rPr>
                <w:b w:val="0"/>
                <w:bCs w:val="0"/>
                <w:sz w:val="24"/>
                <w:szCs w:val="24"/>
              </w:rPr>
              <w:t>4</w:t>
            </w:r>
            <w:r w:rsidRPr="0011375B">
              <w:rPr>
                <w:b w:val="0"/>
                <w:bCs w:val="0"/>
                <w:sz w:val="24"/>
                <w:szCs w:val="24"/>
              </w:rPr>
              <w:t>г</w:t>
            </w:r>
          </w:p>
        </w:tc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65" w:right="-12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Исполнено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80" w:right="-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% исполнения бюджета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133" w:right="-1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Уд вес, %</w:t>
            </w:r>
          </w:p>
        </w:tc>
        <w:tc>
          <w:tcPr>
            <w:tcW w:w="13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70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B7746B" w:rsidRPr="0011375B" w:rsidTr="00965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112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111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65" w:right="-12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80" w:right="-1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95" w:right="-15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3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6127D8" w:rsidRPr="0011375B" w:rsidRDefault="006127D8" w:rsidP="00965B7F">
            <w:pPr>
              <w:widowControl w:val="0"/>
              <w:ind w:left="-70" w:right="-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double" w:sz="4" w:space="0" w:color="auto"/>
            </w:tcBorders>
            <w:noWrap/>
            <w:vAlign w:val="center"/>
          </w:tcPr>
          <w:p w:rsidR="00DE41AC" w:rsidRPr="0011375B" w:rsidRDefault="00DE41AC" w:rsidP="00965B7F">
            <w:pPr>
              <w:widowControl w:val="0"/>
              <w:ind w:right="-112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Налоговые доходы</w:t>
            </w:r>
          </w:p>
        </w:tc>
        <w:tc>
          <w:tcPr>
            <w:tcW w:w="119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1375B">
              <w:rPr>
                <w:b/>
                <w:bCs/>
                <w:sz w:val="24"/>
                <w:szCs w:val="24"/>
              </w:rPr>
              <w:t>1 776 991,0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2 187 132,0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2 181 578,1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99,7</w:t>
            </w:r>
          </w:p>
        </w:tc>
        <w:tc>
          <w:tcPr>
            <w:tcW w:w="81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1375B">
              <w:rPr>
                <w:b/>
                <w:bCs/>
                <w:sz w:val="24"/>
                <w:szCs w:val="24"/>
              </w:rPr>
              <w:t>82,5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122,8</w:t>
            </w:r>
          </w:p>
        </w:tc>
      </w:tr>
      <w:tr w:rsidR="00DE41AC" w:rsidRPr="0011375B" w:rsidTr="00965B7F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НДФЛ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1 465 584,0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1 750 000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1 746 936,0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99,8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66,1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119,2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ЕНВД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-459,7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255,0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102,0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0,0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-55,5</w:t>
            </w:r>
          </w:p>
        </w:tc>
      </w:tr>
      <w:tr w:rsidR="00DE41AC" w:rsidRPr="0011375B" w:rsidTr="00965B7F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УСН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152 713,3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205 000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203 261,4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99,2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7,7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133,1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Патент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21 508,3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42 000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41 619,2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99,1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1,6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193,5</w:t>
            </w:r>
          </w:p>
        </w:tc>
      </w:tr>
      <w:tr w:rsidR="00DE41AC" w:rsidRPr="0011375B" w:rsidTr="00965B7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Налог на имущество физ.</w:t>
            </w:r>
            <w:r w:rsidR="002A3F8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1375B">
              <w:rPr>
                <w:b w:val="0"/>
                <w:bCs w:val="0"/>
                <w:sz w:val="24"/>
                <w:szCs w:val="24"/>
              </w:rPr>
              <w:t>лиц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49 418,6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55 000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54 827,8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99,7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2,1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110,9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Земельный налог всего, в т.ч.: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32 162,6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40 000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39 761,0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99,4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1,5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123,6</w:t>
            </w:r>
          </w:p>
        </w:tc>
      </w:tr>
      <w:tr w:rsidR="00DE41AC" w:rsidRPr="0011375B" w:rsidTr="00965B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12 492,1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i/>
                <w:iCs/>
                <w:color w:val="000000"/>
                <w:sz w:val="24"/>
                <w:szCs w:val="24"/>
              </w:rPr>
              <w:t>12 150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12 466,8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102,6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0,1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99,8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Транспортный налог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6 975,3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  <w:t>7 800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7 863,5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100,8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0,3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112,7</w:t>
            </w:r>
          </w:p>
        </w:tc>
      </w:tr>
      <w:tr w:rsidR="00DE41AC" w:rsidRPr="0011375B" w:rsidTr="00965B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Доходы от уплаты акцизов на автомобильный бензин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12 138,0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12 882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12 895,1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100,1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0,5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106,2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36 841,5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74 000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73 957,7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99,9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2,8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200,7</w:t>
            </w:r>
          </w:p>
        </w:tc>
      </w:tr>
      <w:tr w:rsidR="00DE41AC" w:rsidRPr="0011375B" w:rsidTr="00965B7F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Прочие налоги и сборы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109,2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201,4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100,7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0,0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184,5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Неналоговые доходы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1375B">
              <w:rPr>
                <w:b/>
                <w:bCs/>
                <w:sz w:val="24"/>
                <w:szCs w:val="24"/>
              </w:rPr>
              <w:t>436 544,0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463 691,0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463 179,2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1375B">
              <w:rPr>
                <w:b/>
                <w:bCs/>
                <w:sz w:val="24"/>
                <w:szCs w:val="24"/>
              </w:rPr>
              <w:t>17,5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106,1</w:t>
            </w:r>
          </w:p>
        </w:tc>
      </w:tr>
      <w:tr w:rsidR="00DE41AC" w:rsidRPr="0011375B" w:rsidTr="00965B7F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Арендная плата за землю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324 755,1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335 185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334 878,6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99,9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12,7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103,1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 xml:space="preserve">Доходы от сдачи в аренду </w:t>
            </w:r>
            <w:proofErr w:type="spellStart"/>
            <w:proofErr w:type="gramStart"/>
            <w:r w:rsidRPr="0011375B">
              <w:rPr>
                <w:b w:val="0"/>
                <w:bCs w:val="0"/>
                <w:sz w:val="24"/>
                <w:szCs w:val="24"/>
              </w:rPr>
              <w:t>муниц.имущ</w:t>
            </w:r>
            <w:proofErr w:type="spellEnd"/>
            <w:proofErr w:type="gramEnd"/>
            <w:r w:rsidRPr="0011375B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21 844,9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16 915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17 405,6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102,9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0,7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right="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79,7</w:t>
            </w:r>
          </w:p>
        </w:tc>
      </w:tr>
      <w:tr w:rsidR="00DE41AC" w:rsidRPr="0011375B" w:rsidTr="00965B7F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31 163,1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30 221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30 262,8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100,1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1,1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97,1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26 998,7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46 000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45 811,1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99,6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1,7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169,7</w:t>
            </w:r>
          </w:p>
        </w:tc>
      </w:tr>
      <w:tr w:rsidR="00DE41AC" w:rsidRPr="0011375B" w:rsidTr="00965B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Штрафы, санкции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9 025,0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6 500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6 425,5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98,9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0,2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71,2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 xml:space="preserve">Доходы от оказания платных услуг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12 345,8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25 500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25 171,2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98,7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1,0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203,9</w:t>
            </w:r>
          </w:p>
        </w:tc>
      </w:tr>
      <w:tr w:rsidR="00DE41AC" w:rsidRPr="0011375B" w:rsidTr="00965B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 xml:space="preserve">Прочие неналоговые доходы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10 411,6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3 370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3 224,4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95,7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0,1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31,0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Итого доходов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1375B">
              <w:rPr>
                <w:b/>
                <w:bCs/>
                <w:sz w:val="24"/>
                <w:szCs w:val="24"/>
              </w:rPr>
              <w:t>2 213 535,0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2 650 823,0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2 644 757,3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99,8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1375B"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119,5</w:t>
            </w:r>
          </w:p>
        </w:tc>
      </w:tr>
      <w:tr w:rsidR="00DE41AC" w:rsidRPr="0011375B" w:rsidTr="00965B7F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99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1375B">
              <w:rPr>
                <w:b/>
                <w:bCs/>
                <w:sz w:val="24"/>
                <w:szCs w:val="24"/>
              </w:rPr>
              <w:t>9 529 863,4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10 962 247,7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10 795 219,9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1375B">
              <w:rPr>
                <w:b/>
                <w:bCs/>
                <w:sz w:val="24"/>
                <w:szCs w:val="24"/>
              </w:rPr>
              <w:t>80,3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113,3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Дотация на выравнивание уровня бюджетной обеспеченности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1 662 186,3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1 671 299,9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1 671 299,9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100,0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12,4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100,5</w:t>
            </w:r>
          </w:p>
        </w:tc>
      </w:tr>
      <w:tr w:rsidR="00DE41AC" w:rsidRPr="0011375B" w:rsidTr="00965B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Субвенции от других бюджетов бюджетной системы РФ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4 417 927,5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4 690 939,5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4 563 685,3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97,3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34,0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103,3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Субсидии от других бюджетов бюджетной системы РФ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1 198 928,5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4 494 305,6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4 462 572,3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99,3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33,2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372,2</w:t>
            </w:r>
          </w:p>
        </w:tc>
      </w:tr>
      <w:tr w:rsidR="00DE41AC" w:rsidRPr="0011375B" w:rsidTr="00965B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2 176 948,4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99 602,7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96 069,6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96,5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0,7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4,4</w:t>
            </w:r>
          </w:p>
        </w:tc>
      </w:tr>
      <w:tr w:rsidR="00DE41AC" w:rsidRPr="0011375B" w:rsidTr="00965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b w:val="0"/>
                <w:bCs w:val="0"/>
                <w:sz w:val="24"/>
                <w:szCs w:val="24"/>
              </w:rPr>
            </w:pPr>
            <w:r w:rsidRPr="0011375B">
              <w:rPr>
                <w:b w:val="0"/>
                <w:bCs w:val="0"/>
                <w:sz w:val="24"/>
                <w:szCs w:val="24"/>
              </w:rPr>
              <w:t>Прочие безвозмездные поступления, в т.ч. возврат субсидий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73 872,7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6 100,0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1 592,8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26,1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0,0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sz w:val="24"/>
                <w:szCs w:val="24"/>
              </w:rPr>
              <w:t>2,2</w:t>
            </w:r>
          </w:p>
        </w:tc>
      </w:tr>
      <w:tr w:rsidR="00DE41AC" w:rsidRPr="0011375B" w:rsidTr="00965B7F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noWrap/>
            <w:vAlign w:val="center"/>
            <w:hideMark/>
          </w:tcPr>
          <w:p w:rsidR="00DE41AC" w:rsidRPr="0011375B" w:rsidRDefault="00DE41AC" w:rsidP="00965B7F">
            <w:pPr>
              <w:widowControl w:val="0"/>
              <w:ind w:right="-112"/>
              <w:rPr>
                <w:sz w:val="24"/>
                <w:szCs w:val="24"/>
              </w:rPr>
            </w:pPr>
            <w:r w:rsidRPr="0011375B">
              <w:rPr>
                <w:sz w:val="24"/>
                <w:szCs w:val="24"/>
              </w:rPr>
              <w:t>Итого доходов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ind w:left="-119" w:right="-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11 743 398,4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13 613 070,7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41AC" w:rsidRPr="0011375B" w:rsidRDefault="00DE41AC" w:rsidP="00965B7F">
            <w:pPr>
              <w:ind w:left="-116" w:right="-12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13 439 977,2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98,7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1137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41AC" w:rsidRPr="0011375B" w:rsidRDefault="00DE41AC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11375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114,4</w:t>
            </w:r>
          </w:p>
        </w:tc>
      </w:tr>
    </w:tbl>
    <w:p w:rsidR="006127D8" w:rsidRDefault="006127D8" w:rsidP="00FC54B3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b/>
          <w:bCs/>
          <w:sz w:val="28"/>
          <w:szCs w:val="28"/>
        </w:rPr>
        <w:t xml:space="preserve">Поступления по налоговым и неналоговым доходам в местный бюджет за 2024г. </w:t>
      </w:r>
      <w:r w:rsidRPr="00334FCF">
        <w:rPr>
          <w:rFonts w:ascii="Times New Roman" w:hAnsi="Times New Roman" w:cs="Times New Roman"/>
          <w:sz w:val="28"/>
          <w:szCs w:val="28"/>
        </w:rPr>
        <w:t>составили 2 644,7 млн. руб. и увеличились к 2023г. на 431,2 млн. руб. или на 19,5%, в том числе, по налоговым доходам поступления составили 2 181,6 млн. руб. и увеличились на 404,6 млн. руб. или на 22,7%, по неналоговым поступлениям доходы составили 463,2 млн. руб. и увеличились на 26,7 млн. руб. или на 6,1%.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i/>
          <w:iCs/>
          <w:sz w:val="28"/>
          <w:szCs w:val="28"/>
        </w:rPr>
        <w:t>Налог на доходы физических лиц</w:t>
      </w:r>
      <w:r w:rsidRPr="00334FCF">
        <w:rPr>
          <w:rFonts w:ascii="Times New Roman" w:hAnsi="Times New Roman" w:cs="Times New Roman"/>
          <w:sz w:val="28"/>
          <w:szCs w:val="28"/>
        </w:rPr>
        <w:t xml:space="preserve"> занимает 80 % от налоговых доходов. За 2024г. поступило в местный бюджет 1 747 млн. руб., это на 281,4 млн. руб. или на 19,2% больше, чем за 2023г. Причинами увеличения поступлений по НДФЛ является увеличение фонда оплаты труда. Годовой план исполнен на 99,7%.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i/>
          <w:iCs/>
          <w:sz w:val="28"/>
          <w:szCs w:val="28"/>
        </w:rPr>
        <w:t>Налог, взимаемый в связи с применением упрощенной системы налогообложения</w:t>
      </w:r>
      <w:r w:rsidRPr="00334FCF">
        <w:rPr>
          <w:rFonts w:ascii="Times New Roman" w:hAnsi="Times New Roman" w:cs="Times New Roman"/>
          <w:sz w:val="28"/>
          <w:szCs w:val="28"/>
        </w:rPr>
        <w:t>, является вторым крупным налоговым источником доходов, занимающий 7,7% в доходах. Поступления по УСН за 2024 год составили 203,3 млн. руб. и увеличились к 2023 году на 50,6 млн. руб. или на 33,1%. Годовой план исполнен на 99,1%.</w:t>
      </w:r>
    </w:p>
    <w:p w:rsidR="0073220B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i/>
          <w:iCs/>
          <w:sz w:val="28"/>
          <w:szCs w:val="28"/>
        </w:rPr>
        <w:t>Налог на имущество физических лиц</w:t>
      </w:r>
      <w:r w:rsidRPr="00334FCF">
        <w:rPr>
          <w:rFonts w:ascii="Times New Roman" w:hAnsi="Times New Roman" w:cs="Times New Roman"/>
          <w:sz w:val="28"/>
          <w:szCs w:val="28"/>
        </w:rPr>
        <w:t xml:space="preserve"> в 2024 году составил 54,83 млн руб., это 2,1% в объеме собственных доходов. К 2023 году рост на 5,43 млн руб. Годовой бюджет исполнен на 99,7%. 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Земельный налог занимает 1,5% в доле собственных доходов. В 2024 году поступило 39,7 млн руб. Земельный налог 100% поступает в местный бюджет. Годовой план исполнен на 99,4%.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Поступления от уплаты </w:t>
      </w:r>
      <w:r w:rsidRPr="00334FCF">
        <w:rPr>
          <w:rFonts w:ascii="Times New Roman" w:hAnsi="Times New Roman" w:cs="Times New Roman"/>
          <w:i/>
          <w:iCs/>
          <w:sz w:val="28"/>
          <w:szCs w:val="28"/>
        </w:rPr>
        <w:t>государственной пошлины</w:t>
      </w:r>
      <w:r w:rsidRPr="00334FCF">
        <w:rPr>
          <w:rFonts w:ascii="Times New Roman" w:hAnsi="Times New Roman" w:cs="Times New Roman"/>
          <w:sz w:val="28"/>
          <w:szCs w:val="28"/>
        </w:rPr>
        <w:t xml:space="preserve"> за 2024г. составили 74 млн. руб., годовой бюджет исполнен на 99,9%.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По доходам от уплаты акцизов на автомобильный бензин поступления увеличились к 2023 году на 6,2% и составили 12,9 млн. руб. 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По транспортному налогу поступило в бюджет 7,8 млн. руб., это на 12,7% больше, чем за 2023 г.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Неналоговые поступления за 2024г. увеличились к 2023г. на 6,1% и составили                     463,2 млн. руб., в том числе: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i/>
          <w:iCs/>
          <w:sz w:val="28"/>
          <w:szCs w:val="28"/>
        </w:rPr>
        <w:t>- доходы от арендной платы за землю</w:t>
      </w:r>
      <w:r w:rsidRPr="00334FCF">
        <w:rPr>
          <w:rFonts w:ascii="Times New Roman" w:hAnsi="Times New Roman" w:cs="Times New Roman"/>
          <w:sz w:val="28"/>
          <w:szCs w:val="28"/>
        </w:rPr>
        <w:t xml:space="preserve"> увеличились на 3,1%, годовой план исполнен на 99,9%, в бюджет поступило 334,8 млн. руб.;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- </w:t>
      </w:r>
      <w:r w:rsidRPr="00334FCF">
        <w:rPr>
          <w:rFonts w:ascii="Times New Roman" w:hAnsi="Times New Roman" w:cs="Times New Roman"/>
          <w:i/>
          <w:iCs/>
          <w:sz w:val="28"/>
          <w:szCs w:val="28"/>
        </w:rPr>
        <w:t>по доходам от сдачи в аренду муниципального имущества</w:t>
      </w:r>
      <w:r w:rsidRPr="00334FCF">
        <w:rPr>
          <w:rFonts w:ascii="Times New Roman" w:hAnsi="Times New Roman" w:cs="Times New Roman"/>
          <w:sz w:val="28"/>
          <w:szCs w:val="28"/>
        </w:rPr>
        <w:t xml:space="preserve"> поступления снизились на 20,3% и составили 17,4 млн. руб. Годовой план бюджета исполнен на 102,9%.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- </w:t>
      </w:r>
      <w:r w:rsidRPr="00334FCF">
        <w:rPr>
          <w:rFonts w:ascii="Times New Roman" w:hAnsi="Times New Roman" w:cs="Times New Roman"/>
          <w:i/>
          <w:iCs/>
          <w:sz w:val="28"/>
          <w:szCs w:val="28"/>
        </w:rPr>
        <w:t>по доходам от продажи материальных и нематериальных активов</w:t>
      </w:r>
      <w:r w:rsidRPr="00334FCF">
        <w:rPr>
          <w:rFonts w:ascii="Times New Roman" w:hAnsi="Times New Roman" w:cs="Times New Roman"/>
          <w:sz w:val="28"/>
          <w:szCs w:val="28"/>
        </w:rPr>
        <w:t xml:space="preserve"> поступления снизились на 2,9% к 2023 году и составили 30,26 млн. руб. Годовой план выполнен на 100,1%. Продажа муниципального имущества осуществлялась в соответствии с планом приватизации. </w:t>
      </w:r>
    </w:p>
    <w:p w:rsidR="004002A2" w:rsidRPr="00334FCF" w:rsidRDefault="004002A2" w:rsidP="00C06FB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Платежи при пользовании природными ресурсами увеличились к 2023 году на 69,7% и составили 45,8 млн. руб. Годовой план выполнен на 99,6%.</w:t>
      </w:r>
    </w:p>
    <w:p w:rsidR="004002A2" w:rsidRPr="00334FCF" w:rsidRDefault="004002A2" w:rsidP="00C06FB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С учетом налоговых, неналоговых доходов, дотаций из областного бюджета, субвенций, субсидий и иных межбюджетных трансфертов местный бюджет сложился в размере 13 439,9 млн. руб. (2023г. – 11 743,4 млн. руб.), годовой план по доходной части местного бюджета исполнен на 98,7 %. Рост к 2023 году 114,4%. 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6FB0">
        <w:rPr>
          <w:rFonts w:ascii="Times New Roman" w:hAnsi="Times New Roman" w:cs="Times New Roman"/>
          <w:sz w:val="28"/>
          <w:szCs w:val="28"/>
        </w:rPr>
        <w:t>В целях увеличения доходной части местного бюджета</w:t>
      </w:r>
      <w:r w:rsidR="0026432A" w:rsidRPr="00C06FB0">
        <w:rPr>
          <w:rFonts w:ascii="Times New Roman" w:hAnsi="Times New Roman" w:cs="Times New Roman"/>
          <w:sz w:val="28"/>
          <w:szCs w:val="28"/>
        </w:rPr>
        <w:t>, а также</w:t>
      </w:r>
      <w:r w:rsidRPr="00C06FB0">
        <w:rPr>
          <w:rFonts w:ascii="Times New Roman" w:hAnsi="Times New Roman" w:cs="Times New Roman"/>
          <w:sz w:val="28"/>
          <w:szCs w:val="28"/>
        </w:rPr>
        <w:t xml:space="preserve"> </w:t>
      </w:r>
      <w:r w:rsidR="0026432A" w:rsidRPr="00C06FB0">
        <w:rPr>
          <w:rFonts w:ascii="Times New Roman" w:hAnsi="Times New Roman" w:cs="Times New Roman"/>
          <w:sz w:val="28"/>
          <w:szCs w:val="28"/>
        </w:rPr>
        <w:t>сокращению задолженности по платежам в областной и местный бюджеты</w:t>
      </w:r>
      <w:r w:rsidR="0026432A" w:rsidRPr="00C06FB0">
        <w:rPr>
          <w:rFonts w:ascii="Times New Roman" w:hAnsi="Times New Roman" w:cs="Times New Roman"/>
          <w:sz w:val="28"/>
          <w:szCs w:val="28"/>
        </w:rPr>
        <w:t>,</w:t>
      </w:r>
      <w:r w:rsidR="0026432A" w:rsidRPr="00C06FB0">
        <w:rPr>
          <w:rFonts w:ascii="Times New Roman" w:hAnsi="Times New Roman" w:cs="Times New Roman"/>
          <w:sz w:val="28"/>
          <w:szCs w:val="28"/>
        </w:rPr>
        <w:t xml:space="preserve"> </w:t>
      </w:r>
      <w:r w:rsidRPr="00C06FB0">
        <w:rPr>
          <w:rFonts w:ascii="Times New Roman" w:hAnsi="Times New Roman" w:cs="Times New Roman"/>
          <w:sz w:val="28"/>
          <w:szCs w:val="28"/>
        </w:rPr>
        <w:t>постоянно ведется работа штаба по финансовому мониторингу и выработке мер поддержки отраслей экономики в</w:t>
      </w:r>
      <w:r w:rsidR="00AC1CED" w:rsidRPr="00C06FB0">
        <w:rPr>
          <w:rFonts w:ascii="Times New Roman" w:hAnsi="Times New Roman" w:cs="Times New Roman"/>
          <w:sz w:val="28"/>
          <w:szCs w:val="28"/>
        </w:rPr>
        <w:t xml:space="preserve"> </w:t>
      </w:r>
      <w:r w:rsidRPr="00C06FB0">
        <w:rPr>
          <w:rFonts w:ascii="Times New Roman" w:hAnsi="Times New Roman" w:cs="Times New Roman"/>
          <w:sz w:val="28"/>
          <w:szCs w:val="28"/>
        </w:rPr>
        <w:t>г</w:t>
      </w:r>
      <w:r w:rsidR="0026432A" w:rsidRPr="00C06FB0">
        <w:rPr>
          <w:rFonts w:ascii="Times New Roman" w:hAnsi="Times New Roman" w:cs="Times New Roman"/>
          <w:sz w:val="28"/>
          <w:szCs w:val="28"/>
        </w:rPr>
        <w:t>ороде</w:t>
      </w:r>
      <w:r w:rsidRPr="00C06FB0">
        <w:rPr>
          <w:rFonts w:ascii="Times New Roman" w:hAnsi="Times New Roman" w:cs="Times New Roman"/>
          <w:sz w:val="28"/>
          <w:szCs w:val="28"/>
        </w:rPr>
        <w:t xml:space="preserve"> Прокопьевске. </w:t>
      </w:r>
    </w:p>
    <w:p w:rsidR="004002A2" w:rsidRPr="00334FCF" w:rsidRDefault="004002A2" w:rsidP="002A3F81">
      <w:pPr>
        <w:widowControl w:val="0"/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За 2024 год проведено 14 заседаний штаба по финансовому мониторингу и выработке мер поддержки отраслей экономики в г. Прокопьевске. На заседаниях штаба рассмотрены: 79 организаций и 26 физических лиц. </w:t>
      </w:r>
    </w:p>
    <w:p w:rsidR="004002A2" w:rsidRPr="00334FCF" w:rsidRDefault="004002A2" w:rsidP="004002A2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По данным МИ ФНС России № 11 по Кемеровской области-Кузбассу по рассмотренным налогоплательщикам на 30.12.2024г. в консолидированный бюджет поступило 239,2 млн. руб., а также текущие платежи.</w:t>
      </w:r>
    </w:p>
    <w:p w:rsidR="00522F30" w:rsidRPr="00334FCF" w:rsidRDefault="004002A2" w:rsidP="002A3F81">
      <w:pPr>
        <w:widowControl w:val="0"/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Распоряжением администрации города Прокопьевска от 25.03.2024 № 306-р утверждена Программа финансового оздоровления муниципального образования «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 xml:space="preserve"> городской округ Кемеровской области - Кузбасса». По итогам выполнения плана мероприятий за 2024 год общий бюджетный эффект составил 281,372 млн. руб., в том числе по мероприятиям связанных с увеличением доходов 253,951 млн. руб., по повышению эффективности расходов 27,421 млн. руб.</w:t>
      </w:r>
    </w:p>
    <w:p w:rsidR="00522F30" w:rsidRPr="004002A2" w:rsidRDefault="00522F30" w:rsidP="002A3F81">
      <w:pPr>
        <w:widowControl w:val="0"/>
        <w:spacing w:before="240"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02A2">
        <w:rPr>
          <w:rFonts w:ascii="Times New Roman" w:hAnsi="Times New Roman" w:cs="Times New Roman"/>
          <w:b/>
          <w:bCs/>
          <w:sz w:val="26"/>
          <w:szCs w:val="26"/>
        </w:rPr>
        <w:t>Расходы местного бюджета, млн.</w:t>
      </w:r>
      <w:r w:rsidR="004002A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002A2">
        <w:rPr>
          <w:rFonts w:ascii="Times New Roman" w:hAnsi="Times New Roman" w:cs="Times New Roman"/>
          <w:b/>
          <w:bCs/>
          <w:sz w:val="26"/>
          <w:szCs w:val="26"/>
        </w:rPr>
        <w:t>руб.</w:t>
      </w:r>
    </w:p>
    <w:tbl>
      <w:tblPr>
        <w:tblStyle w:val="-151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813"/>
        <w:gridCol w:w="1275"/>
        <w:gridCol w:w="1418"/>
        <w:gridCol w:w="1417"/>
        <w:gridCol w:w="993"/>
        <w:gridCol w:w="1417"/>
      </w:tblGrid>
      <w:tr w:rsidR="00522F30" w:rsidRPr="00334FCF" w:rsidTr="00334FCF">
        <w:trPr>
          <w:trHeight w:val="525"/>
          <w:tblHeader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2F30" w:rsidRPr="00334FCF" w:rsidRDefault="00522F30" w:rsidP="00965B7F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2F30" w:rsidRPr="00334FCF" w:rsidRDefault="00522F30" w:rsidP="00965B7F">
            <w:pPr>
              <w:widowControl w:val="0"/>
              <w:ind w:left="-100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Исполнено</w:t>
            </w:r>
          </w:p>
          <w:p w:rsidR="00522F30" w:rsidRPr="00334FCF" w:rsidRDefault="00522F30" w:rsidP="00965B7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за 20</w:t>
            </w:r>
            <w:r w:rsidRPr="00334FCF">
              <w:rPr>
                <w:sz w:val="26"/>
                <w:szCs w:val="26"/>
                <w:lang w:val="en-US" w:eastAsia="en-US"/>
              </w:rPr>
              <w:t>2</w:t>
            </w:r>
            <w:r w:rsidR="004002A2" w:rsidRPr="00334FCF">
              <w:rPr>
                <w:sz w:val="26"/>
                <w:szCs w:val="26"/>
                <w:lang w:eastAsia="en-US"/>
              </w:rPr>
              <w:t>3</w:t>
            </w:r>
            <w:r w:rsidRPr="00334FCF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2F30" w:rsidRPr="00334FCF" w:rsidRDefault="00522F30" w:rsidP="00965B7F">
            <w:pPr>
              <w:widowControl w:val="0"/>
              <w:ind w:left="-114" w:right="-109"/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Утверждено</w:t>
            </w:r>
          </w:p>
          <w:p w:rsidR="00522F30" w:rsidRPr="00334FCF" w:rsidRDefault="00522F30" w:rsidP="00965B7F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на 20</w:t>
            </w:r>
            <w:r w:rsidRPr="00334FCF">
              <w:rPr>
                <w:sz w:val="26"/>
                <w:szCs w:val="26"/>
                <w:lang w:val="en-US" w:eastAsia="en-US"/>
              </w:rPr>
              <w:t>2</w:t>
            </w:r>
            <w:r w:rsidR="004002A2" w:rsidRPr="00334FCF">
              <w:rPr>
                <w:sz w:val="26"/>
                <w:szCs w:val="26"/>
                <w:lang w:eastAsia="en-US"/>
              </w:rPr>
              <w:t>4</w:t>
            </w:r>
            <w:r w:rsidRPr="00334FCF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2F30" w:rsidRPr="00334FCF" w:rsidRDefault="00522F30" w:rsidP="00965B7F">
            <w:pPr>
              <w:widowControl w:val="0"/>
              <w:ind w:left="-86" w:right="-13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Исполнено</w:t>
            </w:r>
          </w:p>
          <w:p w:rsidR="00522F30" w:rsidRPr="00334FCF" w:rsidRDefault="00522F30" w:rsidP="00965B7F">
            <w:pPr>
              <w:widowControl w:val="0"/>
              <w:ind w:lef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за 20</w:t>
            </w:r>
            <w:r w:rsidRPr="00334FCF">
              <w:rPr>
                <w:sz w:val="26"/>
                <w:szCs w:val="26"/>
                <w:lang w:val="en-US" w:eastAsia="en-US"/>
              </w:rPr>
              <w:t>2</w:t>
            </w:r>
            <w:r w:rsidR="004002A2" w:rsidRPr="00334FCF">
              <w:rPr>
                <w:sz w:val="26"/>
                <w:szCs w:val="26"/>
                <w:lang w:eastAsia="en-US"/>
              </w:rPr>
              <w:t>4</w:t>
            </w:r>
            <w:r w:rsidRPr="00334FCF">
              <w:rPr>
                <w:sz w:val="26"/>
                <w:szCs w:val="26"/>
                <w:lang w:eastAsia="en-US"/>
              </w:rPr>
              <w:t>г.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2F30" w:rsidRPr="00334FCF" w:rsidRDefault="00522F30" w:rsidP="00965B7F">
            <w:pPr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%</w:t>
            </w:r>
          </w:p>
          <w:p w:rsidR="00522F30" w:rsidRPr="00334FCF" w:rsidRDefault="00522F30" w:rsidP="00965B7F">
            <w:pPr>
              <w:widowControl w:val="0"/>
              <w:ind w:left="-107" w:right="-104"/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 xml:space="preserve"> к плану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22F30" w:rsidRPr="00334FCF" w:rsidRDefault="00522F30" w:rsidP="00965B7F">
            <w:pPr>
              <w:widowControl w:val="0"/>
              <w:ind w:left="-113" w:right="-9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структура расходов %</w:t>
            </w:r>
          </w:p>
        </w:tc>
      </w:tr>
      <w:tr w:rsidR="004002A2" w:rsidRPr="00334FCF" w:rsidTr="00334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Расходы бюджета - всего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11 879,7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13 649,9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13 402,4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98,2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4002A2" w:rsidRPr="00334FCF" w:rsidTr="00334FCF">
        <w:trPr>
          <w:trHeight w:val="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Общегосударственные вопросы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351,5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571,1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559,9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4,2</w:t>
            </w:r>
          </w:p>
        </w:tc>
      </w:tr>
      <w:tr w:rsidR="004002A2" w:rsidRPr="00334FCF" w:rsidTr="00334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110,4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105,2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104,6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99,4</w:t>
            </w: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0,8</w:t>
            </w:r>
          </w:p>
        </w:tc>
      </w:tr>
      <w:tr w:rsidR="004002A2" w:rsidRPr="00334FCF" w:rsidTr="00334FCF">
        <w:trPr>
          <w:trHeight w:val="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1 172,4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1 371,3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1 365,2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99,5</w:t>
            </w: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10,2</w:t>
            </w:r>
          </w:p>
        </w:tc>
      </w:tr>
      <w:tr w:rsidR="004002A2" w:rsidRPr="00334FCF" w:rsidTr="00334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Жилищно-коммунальное хозяйство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2 525,3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2 800,9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2 693,0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96,1</w:t>
            </w: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20,1</w:t>
            </w:r>
          </w:p>
        </w:tc>
      </w:tr>
      <w:tr w:rsidR="004002A2" w:rsidRPr="00334FCF" w:rsidTr="00334FCF">
        <w:trPr>
          <w:trHeight w:val="2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22,9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40,9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19,2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47</w:t>
            </w: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0,1</w:t>
            </w:r>
          </w:p>
        </w:tc>
      </w:tr>
      <w:tr w:rsidR="004002A2" w:rsidRPr="00334FCF" w:rsidTr="00334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3 987,5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4 122,6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4 044,8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98,1</w:t>
            </w: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30,2</w:t>
            </w:r>
          </w:p>
        </w:tc>
      </w:tr>
      <w:tr w:rsidR="004002A2" w:rsidRPr="00334FCF" w:rsidTr="00334FCF">
        <w:trPr>
          <w:trHeight w:val="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Культура, кинематография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515,6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599,6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589,8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98,3</w:t>
            </w: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4,4</w:t>
            </w:r>
          </w:p>
        </w:tc>
      </w:tr>
      <w:tr w:rsidR="004002A2" w:rsidRPr="00334FCF" w:rsidTr="00334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2 840,1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3 621,9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3 615,6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99,8</w:t>
            </w: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27</w:t>
            </w:r>
          </w:p>
        </w:tc>
      </w:tr>
      <w:tr w:rsidR="004002A2" w:rsidRPr="00334FCF" w:rsidTr="00334FCF">
        <w:trPr>
          <w:trHeight w:val="21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353,4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415,4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409,6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98,6</w:t>
            </w: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3,1</w:t>
            </w:r>
          </w:p>
        </w:tc>
      </w:tr>
      <w:tr w:rsidR="004002A2" w:rsidRPr="00334FCF" w:rsidTr="00334F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 xml:space="preserve">Обслуживание </w:t>
            </w:r>
            <w:proofErr w:type="spellStart"/>
            <w:proofErr w:type="gramStart"/>
            <w:r w:rsidRPr="00334FCF">
              <w:rPr>
                <w:sz w:val="26"/>
                <w:szCs w:val="26"/>
                <w:lang w:eastAsia="en-US"/>
              </w:rPr>
              <w:t>государствен</w:t>
            </w:r>
            <w:r w:rsidR="00105832" w:rsidRPr="00334FCF">
              <w:rPr>
                <w:sz w:val="26"/>
                <w:szCs w:val="26"/>
                <w:lang w:eastAsia="en-US"/>
              </w:rPr>
              <w:t>-</w:t>
            </w:r>
            <w:r w:rsidRPr="00334FCF">
              <w:rPr>
                <w:sz w:val="26"/>
                <w:szCs w:val="26"/>
                <w:lang w:eastAsia="en-US"/>
              </w:rPr>
              <w:t>ного</w:t>
            </w:r>
            <w:proofErr w:type="spellEnd"/>
            <w:proofErr w:type="gramEnd"/>
            <w:r w:rsidRPr="00334FCF">
              <w:rPr>
                <w:sz w:val="26"/>
                <w:szCs w:val="26"/>
                <w:lang w:eastAsia="en-US"/>
              </w:rPr>
              <w:t xml:space="preserve"> и муниципального долга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0,69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0,65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0,65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0,005</w:t>
            </w:r>
          </w:p>
        </w:tc>
      </w:tr>
      <w:tr w:rsidR="004002A2" w:rsidRPr="00334FCF" w:rsidTr="00334FCF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13" w:type="dxa"/>
            <w:shd w:val="clear" w:color="auto" w:fill="FFFFFF" w:themeFill="background1"/>
          </w:tcPr>
          <w:p w:rsidR="004002A2" w:rsidRPr="00334FCF" w:rsidRDefault="004002A2" w:rsidP="00965B7F">
            <w:pPr>
              <w:widowControl w:val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Результат исполнения бюджета дефицит/профицит)</w:t>
            </w:r>
          </w:p>
        </w:tc>
        <w:tc>
          <w:tcPr>
            <w:tcW w:w="1275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-136,35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-36,9</w:t>
            </w:r>
          </w:p>
        </w:tc>
        <w:tc>
          <w:tcPr>
            <w:tcW w:w="1417" w:type="dxa"/>
            <w:shd w:val="clear" w:color="auto" w:fill="FFFFFF" w:themeFill="background1"/>
            <w:noWrap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  <w:r w:rsidRPr="00334FCF">
              <w:rPr>
                <w:sz w:val="26"/>
                <w:szCs w:val="26"/>
                <w:lang w:eastAsia="en-US"/>
              </w:rPr>
              <w:t>37,6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002A2" w:rsidRPr="00334FCF" w:rsidRDefault="004002A2" w:rsidP="00965B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  <w:lang w:eastAsia="en-US"/>
              </w:rPr>
            </w:pPr>
          </w:p>
        </w:tc>
      </w:tr>
    </w:tbl>
    <w:p w:rsidR="00522F30" w:rsidRPr="00334FCF" w:rsidRDefault="004002A2" w:rsidP="002A3F81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Расходы местного бюджета за 2024 год составили 13 402,4 млн. руб. и увеличились к 2023 году на 1522,7 млн. руб. (или на 12,8 %). В структуре расходов бюджета 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 xml:space="preserve"> городского округа в 2024г., большую долю, а именно 30,2% или 4 044,8 млн. руб. занимают расходы на образование; 27 % или 3615,6 млн. руб. на социальную политику; 20,1 % или 2693 млн. руб. на жилищно-коммунальное хозяйство, 10,2 % или 1365,2 млн. руб. на национальную экономику; 4,4% или 589,8 млн. руб. расходы на культуру, 3,1 % на физическую культуру и спорт и 4,2 % на общегосударственные расходы. Технический профицит местного бюджета составил 37,6 млн. руб. Данный профицит сложился в связи с применением с 01.01.2023г. единого налогового счета, который предусматривает единый срок уплаты налогов – 28 число текущего месяца. Платежи зачисляются в бюджет муниципального образования в течение нескольких дней, в то время как 28.12.2024 был последним рабочим днем и не представлялось технической возможности осуществить расходование бюджета в текущем году, денежные средства были направлены на погашение имеющихся задолженностей 2024 года в первые рабочие дни 2025 года.</w:t>
      </w:r>
    </w:p>
    <w:p w:rsidR="007128FC" w:rsidRPr="00334FCF" w:rsidRDefault="007128FC" w:rsidP="00FC54B3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F30" w:rsidRPr="00334FCF" w:rsidRDefault="00522F30" w:rsidP="00FC54B3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FCF">
        <w:rPr>
          <w:rFonts w:ascii="Times New Roman" w:hAnsi="Times New Roman" w:cs="Times New Roman"/>
          <w:b/>
          <w:bCs/>
          <w:sz w:val="28"/>
          <w:szCs w:val="28"/>
        </w:rPr>
        <w:t>РЕАЛИЗАЦИЯ НАЦИОНАЛЬНЫХ ПРОЕКТОВ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В Прокопьевске реализуется 4 национальных проекта в рамках 8 региональных проектов.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национальных проектов в бюджете 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Прокопьевского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 xml:space="preserve"> городского округа на 2024 год утверждены бюджетные назначения в размере 293 204,3 тыс. рублей</w:t>
      </w:r>
      <w:r w:rsidR="00616A52" w:rsidRPr="00334FCF">
        <w:rPr>
          <w:rFonts w:ascii="Times New Roman" w:hAnsi="Times New Roman" w:cs="Times New Roman"/>
          <w:sz w:val="28"/>
          <w:szCs w:val="28"/>
        </w:rPr>
        <w:t>.</w:t>
      </w:r>
    </w:p>
    <w:p w:rsidR="005A6D0D" w:rsidRPr="00334FCF" w:rsidRDefault="00616A52" w:rsidP="007128FC">
      <w:pPr>
        <w:widowControl w:val="0"/>
        <w:spacing w:before="24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FCF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5A6D0D" w:rsidRPr="00334FCF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проект «Демография» 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Общий объем бюджетных ассигнований на 2024 год составляет 33 096,85 тыс. руб.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Реализуются региональные проекты: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4FCF">
        <w:rPr>
          <w:rFonts w:ascii="Times New Roman" w:hAnsi="Times New Roman" w:cs="Times New Roman"/>
          <w:sz w:val="28"/>
          <w:szCs w:val="28"/>
          <w:u w:val="single"/>
        </w:rPr>
        <w:t xml:space="preserve">«Финансовая поддержка семей при рождении детей». 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Бесплатное питание на каждого ребёнка с 5 по 11 классы один раз в день в период обучения в школе (Закон Кемеровской области от 14.11.2005 № 123-ОЗ). Стоимость питания определена в день на каждого ребёнка - 75 руб. Мера социальной поддержки предоставляется многодетным семьям.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  <w:u w:val="single"/>
        </w:rPr>
        <w:t xml:space="preserve"> «Старшее поколение»</w:t>
      </w:r>
      <w:r w:rsidRPr="00334FCF">
        <w:rPr>
          <w:rFonts w:ascii="Times New Roman" w:hAnsi="Times New Roman" w:cs="Times New Roman"/>
          <w:sz w:val="28"/>
          <w:szCs w:val="28"/>
        </w:rPr>
        <w:t xml:space="preserve"> - системная поддержка и повышение качества жизни старшего поколения и включает в себя систему долговременного у хода за гражданами пожилого возраста и инвалидами. Финансирование фонда оплаты труда - 24 штатные единицы (сиделки).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  <w:u w:val="single"/>
        </w:rPr>
        <w:t>«Спорт - норма жизни»</w:t>
      </w:r>
      <w:r w:rsidRPr="00334FCF">
        <w:rPr>
          <w:rFonts w:ascii="Times New Roman" w:hAnsi="Times New Roman" w:cs="Times New Roman"/>
          <w:sz w:val="28"/>
          <w:szCs w:val="28"/>
        </w:rPr>
        <w:t xml:space="preserve"> - государственная поддержка организаций, входящих в систему спортивной подготовки (приобретение газели для МАУ ДО «Спортивная Школа №1»)</w:t>
      </w:r>
      <w:r w:rsidR="00616A52" w:rsidRPr="00334FCF">
        <w:rPr>
          <w:rFonts w:ascii="Times New Roman" w:hAnsi="Times New Roman" w:cs="Times New Roman"/>
          <w:sz w:val="28"/>
          <w:szCs w:val="28"/>
        </w:rPr>
        <w:t>.</w:t>
      </w:r>
    </w:p>
    <w:p w:rsidR="005A6D0D" w:rsidRPr="00334FCF" w:rsidRDefault="00616A52" w:rsidP="009E7B3B">
      <w:pPr>
        <w:widowControl w:val="0"/>
        <w:spacing w:before="24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FCF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A6D0D" w:rsidRPr="00334FCF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проект «Образование» 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Общий объем бюджетных ассигнований на 2024 год составляет 42 399,61 тыс. руб.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Реализуются региональные проекты: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4FCF">
        <w:rPr>
          <w:rFonts w:ascii="Times New Roman" w:hAnsi="Times New Roman" w:cs="Times New Roman"/>
          <w:sz w:val="28"/>
          <w:szCs w:val="28"/>
          <w:u w:val="single"/>
        </w:rPr>
        <w:t>«Успех каждого ребенка».</w:t>
      </w:r>
    </w:p>
    <w:p w:rsidR="005A6D0D" w:rsidRPr="00334FCF" w:rsidRDefault="00D818AA" w:rsidP="007128FC">
      <w:pPr>
        <w:widowControl w:val="0"/>
        <w:spacing w:after="0"/>
        <w:ind w:righ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Переход на систему персонифицированного финансирования и учета детей, получающих дополнительное образование</w:t>
      </w:r>
      <w:r w:rsidR="003805B6" w:rsidRPr="00334FCF">
        <w:rPr>
          <w:rFonts w:ascii="Times New Roman" w:hAnsi="Times New Roman" w:cs="Times New Roman"/>
          <w:sz w:val="28"/>
          <w:szCs w:val="28"/>
        </w:rPr>
        <w:t xml:space="preserve"> (посещение выбранных детьми кружков и секций может полностью или частично оплачиваться не за счет родителей, а за счет государственных бюджетных средств)</w:t>
      </w:r>
      <w:r w:rsidRPr="00334FCF">
        <w:rPr>
          <w:rFonts w:ascii="Times New Roman" w:hAnsi="Times New Roman" w:cs="Times New Roman"/>
          <w:sz w:val="28"/>
          <w:szCs w:val="28"/>
        </w:rPr>
        <w:t xml:space="preserve">. Охват </w:t>
      </w:r>
      <w:r w:rsidR="003805B6" w:rsidRPr="00334FCF">
        <w:rPr>
          <w:rFonts w:ascii="Times New Roman" w:hAnsi="Times New Roman" w:cs="Times New Roman"/>
          <w:sz w:val="28"/>
          <w:szCs w:val="28"/>
        </w:rPr>
        <w:t xml:space="preserve">детей, имеющих право на получение дополнительного образования, </w:t>
      </w:r>
      <w:r w:rsidRPr="00334FCF">
        <w:rPr>
          <w:rFonts w:ascii="Times New Roman" w:hAnsi="Times New Roman" w:cs="Times New Roman"/>
          <w:sz w:val="28"/>
          <w:szCs w:val="28"/>
        </w:rPr>
        <w:t>в возрасте от 5 до 18 лет</w:t>
      </w:r>
      <w:r w:rsidR="003805B6" w:rsidRPr="00334FCF">
        <w:rPr>
          <w:rFonts w:ascii="Times New Roman" w:hAnsi="Times New Roman" w:cs="Times New Roman"/>
          <w:sz w:val="28"/>
          <w:szCs w:val="28"/>
        </w:rPr>
        <w:t>.</w:t>
      </w:r>
      <w:r w:rsidRPr="00334FCF">
        <w:rPr>
          <w:rFonts w:ascii="Times New Roman" w:hAnsi="Times New Roman" w:cs="Times New Roman"/>
          <w:sz w:val="28"/>
          <w:szCs w:val="28"/>
        </w:rPr>
        <w:t xml:space="preserve"> </w:t>
      </w:r>
      <w:r w:rsidR="005A6D0D" w:rsidRPr="00334FCF">
        <w:rPr>
          <w:rFonts w:ascii="Times New Roman" w:hAnsi="Times New Roman" w:cs="Times New Roman"/>
          <w:sz w:val="28"/>
          <w:szCs w:val="28"/>
        </w:rPr>
        <w:t xml:space="preserve">В систему персонифицированного дополнительного образования детей включены 6 учреждения дополнительного образования: МБОУ ДО «Центр дополнительного образования детей», МБОУ ДО «Дворец детского творчества им. </w:t>
      </w:r>
      <w:proofErr w:type="spellStart"/>
      <w:r w:rsidR="005A6D0D" w:rsidRPr="00334FCF">
        <w:rPr>
          <w:rFonts w:ascii="Times New Roman" w:hAnsi="Times New Roman" w:cs="Times New Roman"/>
          <w:sz w:val="28"/>
          <w:szCs w:val="28"/>
        </w:rPr>
        <w:t>Ю.А.Гагарина</w:t>
      </w:r>
      <w:proofErr w:type="spellEnd"/>
      <w:r w:rsidR="005A6D0D" w:rsidRPr="00334FCF">
        <w:rPr>
          <w:rFonts w:ascii="Times New Roman" w:hAnsi="Times New Roman" w:cs="Times New Roman"/>
          <w:sz w:val="28"/>
          <w:szCs w:val="28"/>
        </w:rPr>
        <w:t>», МБОУ ДО «Детская школа искусств», МБОУ ДО «Дом детского творчества», МБОУ «Школа №45», Некоммерческая организация школа иностранных языков «Северная звезда». Выдано 8 199 сертификатов персонифицированного финансирования.</w:t>
      </w:r>
    </w:p>
    <w:p w:rsidR="00D818AA" w:rsidRPr="00334FCF" w:rsidRDefault="004C2179" w:rsidP="004C2179">
      <w:pPr>
        <w:pStyle w:val="ab"/>
        <w:widowControl w:val="0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 </w:t>
      </w:r>
      <w:r w:rsidR="005A6D0D" w:rsidRPr="00334FCF">
        <w:rPr>
          <w:rFonts w:ascii="Times New Roman" w:hAnsi="Times New Roman" w:cs="Times New Roman"/>
          <w:sz w:val="28"/>
          <w:szCs w:val="28"/>
        </w:rPr>
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организациях. В проект включено: 21 образовательное учреждение (школы № 2,3,6,11,15,16,25,28,29,32,35,51,54, 57,62,68,69,70,72, школа интернат 32, МБУ ДО ЦОДД).</w:t>
      </w:r>
      <w:r w:rsidR="00D818AA" w:rsidRPr="0033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0D" w:rsidRPr="00334FCF" w:rsidRDefault="00D818AA" w:rsidP="00D818AA">
      <w:pPr>
        <w:pStyle w:val="ab"/>
        <w:widowControl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Целью проекта является создание условий для реализации дополнительных общеразвивающих программ всех направленностей в образовательных организациях</w:t>
      </w:r>
    </w:p>
    <w:p w:rsidR="005A6D0D" w:rsidRPr="00334FCF" w:rsidRDefault="005A6D0D" w:rsidP="002A3F81">
      <w:pPr>
        <w:widowControl w:val="0"/>
        <w:spacing w:before="240"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4FCF">
        <w:rPr>
          <w:rFonts w:ascii="Times New Roman" w:hAnsi="Times New Roman" w:cs="Times New Roman"/>
          <w:sz w:val="28"/>
          <w:szCs w:val="28"/>
          <w:u w:val="single"/>
        </w:rPr>
        <w:t>«Патриотическое воспитание».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Создание условий для эффективной системы патриотического воспитания в общеобразовательных организациях города Прокопьевска, обеспечивающей формирование у детей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России, природе и окружающей среде путем вовлечения обучающихся в систему патриотического воспитания.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В проект включены 28 образовательных учреждений в 2024г. (школы №1, 2, 3, 6, 10, 11, 14, 15, 16, 18, 25, 26, 28, 29, 31, 32, 35, 44, 45, 51, 54, 57, 62, 68, 69, 70, 71, 72).</w:t>
      </w:r>
    </w:p>
    <w:p w:rsidR="005A6D0D" w:rsidRPr="00334FCF" w:rsidRDefault="00616A52" w:rsidP="002A3F81">
      <w:pPr>
        <w:widowControl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FC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A6D0D" w:rsidRPr="00334FCF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«Культура»</w:t>
      </w:r>
      <w:r w:rsidR="00D818AA" w:rsidRPr="00334FC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Реализуется региональный проект «Культурная среда»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Общий объем бюджетных ассигнований на 2024 год – 4 495,9 тыс. руб.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учреждений культуры (музыкальные инструменты) МАУ ДО «ДМШ №57»</w:t>
      </w:r>
      <w:r w:rsidR="00616A52" w:rsidRPr="00334FCF">
        <w:rPr>
          <w:rFonts w:ascii="Times New Roman" w:hAnsi="Times New Roman" w:cs="Times New Roman"/>
          <w:sz w:val="28"/>
          <w:szCs w:val="28"/>
        </w:rPr>
        <w:t xml:space="preserve">. Приобретены музыкальные инструменты: рояль, пианино, балалайка, классическая гитара), а также </w:t>
      </w:r>
      <w:proofErr w:type="spellStart"/>
      <w:r w:rsidR="00616A52" w:rsidRPr="00334FCF">
        <w:rPr>
          <w:rFonts w:ascii="Times New Roman" w:hAnsi="Times New Roman" w:cs="Times New Roman"/>
          <w:sz w:val="28"/>
          <w:szCs w:val="28"/>
        </w:rPr>
        <w:t>книжно</w:t>
      </w:r>
      <w:proofErr w:type="spellEnd"/>
      <w:r w:rsidR="00616A52" w:rsidRPr="00334FCF">
        <w:rPr>
          <w:rFonts w:ascii="Times New Roman" w:hAnsi="Times New Roman" w:cs="Times New Roman"/>
          <w:sz w:val="28"/>
          <w:szCs w:val="28"/>
        </w:rPr>
        <w:t>-журнальная и нотная литература)</w:t>
      </w:r>
      <w:r w:rsidRPr="00334FCF">
        <w:rPr>
          <w:rFonts w:ascii="Times New Roman" w:hAnsi="Times New Roman" w:cs="Times New Roman"/>
          <w:sz w:val="28"/>
          <w:szCs w:val="28"/>
        </w:rPr>
        <w:t>.</w:t>
      </w:r>
    </w:p>
    <w:p w:rsidR="005A6D0D" w:rsidRPr="00334FCF" w:rsidRDefault="00616A52" w:rsidP="002A3F81">
      <w:pPr>
        <w:widowControl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5A6D0D" w:rsidRPr="00334FCF">
        <w:rPr>
          <w:rFonts w:ascii="Times New Roman" w:hAnsi="Times New Roman" w:cs="Times New Roman"/>
          <w:b/>
          <w:bCs/>
          <w:sz w:val="28"/>
          <w:szCs w:val="28"/>
        </w:rPr>
        <w:t>Национальный проект «Жилье и городская среда»</w:t>
      </w:r>
      <w:r w:rsidR="00D818AA" w:rsidRPr="00334FCF">
        <w:rPr>
          <w:rFonts w:ascii="Times New Roman" w:hAnsi="Times New Roman" w:cs="Times New Roman"/>
          <w:sz w:val="28"/>
          <w:szCs w:val="28"/>
        </w:rPr>
        <w:t>.</w:t>
      </w:r>
      <w:r w:rsidR="005A6D0D" w:rsidRPr="0033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Общий объем бюджетных ассигнований на 2024 год – 213 211,9 тыс. руб.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Реализуются региональные проекты: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4FCF">
        <w:rPr>
          <w:rFonts w:ascii="Times New Roman" w:hAnsi="Times New Roman" w:cs="Times New Roman"/>
          <w:sz w:val="28"/>
          <w:szCs w:val="28"/>
          <w:u w:val="single"/>
        </w:rPr>
        <w:t>«Формирование комфортной городской среды».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2024 год составляет 113 745,9 тыс. руб. </w:t>
      </w:r>
    </w:p>
    <w:p w:rsidR="00EF56E9" w:rsidRPr="002A3F81" w:rsidRDefault="00D818AA" w:rsidP="00A51ECC">
      <w:pPr>
        <w:pStyle w:val="ab"/>
        <w:widowControl w:val="0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F81">
        <w:rPr>
          <w:rFonts w:ascii="Times New Roman" w:hAnsi="Times New Roman" w:cs="Times New Roman"/>
          <w:sz w:val="28"/>
          <w:szCs w:val="28"/>
        </w:rPr>
        <w:t xml:space="preserve"> </w:t>
      </w:r>
      <w:r w:rsidR="00814180" w:rsidRPr="002A3F81">
        <w:rPr>
          <w:rFonts w:ascii="Times New Roman" w:hAnsi="Times New Roman" w:cs="Times New Roman"/>
          <w:sz w:val="28"/>
          <w:szCs w:val="28"/>
        </w:rPr>
        <w:t>Выполнен ремонт 24 дворовых территорий на сумму - 80 902 тыс. руб. по адресам: ул. Обручева, 5,7,36, 13, ул. Грибоедова, 26,</w:t>
      </w:r>
      <w:r w:rsidR="00CD7FF1" w:rsidRPr="002A3F81">
        <w:rPr>
          <w:rFonts w:ascii="Times New Roman" w:hAnsi="Times New Roman" w:cs="Times New Roman"/>
          <w:sz w:val="28"/>
          <w:szCs w:val="28"/>
        </w:rPr>
        <w:t xml:space="preserve"> </w:t>
      </w:r>
      <w:r w:rsidR="00814180" w:rsidRPr="002A3F81">
        <w:rPr>
          <w:rFonts w:ascii="Times New Roman" w:hAnsi="Times New Roman" w:cs="Times New Roman"/>
          <w:sz w:val="28"/>
          <w:szCs w:val="28"/>
        </w:rPr>
        <w:t>32,</w:t>
      </w:r>
      <w:r w:rsidR="00CD7FF1" w:rsidRPr="002A3F81">
        <w:rPr>
          <w:rFonts w:ascii="Times New Roman" w:hAnsi="Times New Roman" w:cs="Times New Roman"/>
          <w:sz w:val="28"/>
          <w:szCs w:val="28"/>
        </w:rPr>
        <w:t xml:space="preserve"> </w:t>
      </w:r>
      <w:r w:rsidR="00814180" w:rsidRPr="002A3F81">
        <w:rPr>
          <w:rFonts w:ascii="Times New Roman" w:hAnsi="Times New Roman" w:cs="Times New Roman"/>
          <w:sz w:val="28"/>
          <w:szCs w:val="28"/>
        </w:rPr>
        <w:t xml:space="preserve">34, ул.Оренургская,14, 17, </w:t>
      </w:r>
      <w:r w:rsidR="002A3F8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14180" w:rsidRPr="002A3F81">
        <w:rPr>
          <w:rFonts w:ascii="Times New Roman" w:hAnsi="Times New Roman" w:cs="Times New Roman"/>
          <w:sz w:val="28"/>
          <w:szCs w:val="28"/>
        </w:rPr>
        <w:t>ул. Ноградская,30</w:t>
      </w:r>
      <w:r w:rsidR="00CD7FF1" w:rsidRPr="002A3F81">
        <w:rPr>
          <w:rFonts w:ascii="Times New Roman" w:hAnsi="Times New Roman" w:cs="Times New Roman"/>
          <w:sz w:val="28"/>
          <w:szCs w:val="28"/>
        </w:rPr>
        <w:t xml:space="preserve">, </w:t>
      </w:r>
      <w:r w:rsidR="00814180" w:rsidRPr="002A3F81">
        <w:rPr>
          <w:rFonts w:ascii="Times New Roman" w:hAnsi="Times New Roman" w:cs="Times New Roman"/>
          <w:sz w:val="28"/>
          <w:szCs w:val="28"/>
        </w:rPr>
        <w:t>ул. Союзная 67, ул.</w:t>
      </w:r>
      <w:r w:rsidR="00CD7FF1" w:rsidRPr="002A3F81">
        <w:rPr>
          <w:rFonts w:ascii="Times New Roman" w:hAnsi="Times New Roman" w:cs="Times New Roman"/>
          <w:sz w:val="28"/>
          <w:szCs w:val="28"/>
        </w:rPr>
        <w:t xml:space="preserve"> </w:t>
      </w:r>
      <w:r w:rsidR="00814180" w:rsidRPr="002A3F81">
        <w:rPr>
          <w:rFonts w:ascii="Times New Roman" w:hAnsi="Times New Roman" w:cs="Times New Roman"/>
          <w:sz w:val="28"/>
          <w:szCs w:val="28"/>
        </w:rPr>
        <w:t>Ближняя,10, ул. Вокзальная,53, ул.</w:t>
      </w:r>
      <w:r w:rsidR="00CD7FF1" w:rsidRPr="002A3F81">
        <w:rPr>
          <w:rFonts w:ascii="Times New Roman" w:hAnsi="Times New Roman" w:cs="Times New Roman"/>
          <w:sz w:val="28"/>
          <w:szCs w:val="28"/>
        </w:rPr>
        <w:t xml:space="preserve"> </w:t>
      </w:r>
      <w:r w:rsidR="00814180" w:rsidRPr="002A3F81">
        <w:rPr>
          <w:rFonts w:ascii="Times New Roman" w:hAnsi="Times New Roman" w:cs="Times New Roman"/>
          <w:sz w:val="28"/>
          <w:szCs w:val="28"/>
        </w:rPr>
        <w:t>Шишкина, 23а,</w:t>
      </w:r>
      <w:r w:rsidR="00CD7FF1" w:rsidRPr="002A3F81">
        <w:rPr>
          <w:rFonts w:ascii="Times New Roman" w:hAnsi="Times New Roman" w:cs="Times New Roman"/>
          <w:sz w:val="28"/>
          <w:szCs w:val="28"/>
        </w:rPr>
        <w:t xml:space="preserve"> </w:t>
      </w:r>
      <w:r w:rsidR="00814180" w:rsidRPr="002A3F81">
        <w:rPr>
          <w:rFonts w:ascii="Times New Roman" w:hAnsi="Times New Roman" w:cs="Times New Roman"/>
          <w:sz w:val="28"/>
          <w:szCs w:val="28"/>
        </w:rPr>
        <w:t>пр. Строителей,33,</w:t>
      </w:r>
      <w:r w:rsidR="0094767E" w:rsidRPr="002A3F81">
        <w:rPr>
          <w:rFonts w:ascii="Times New Roman" w:hAnsi="Times New Roman" w:cs="Times New Roman"/>
          <w:sz w:val="28"/>
          <w:szCs w:val="28"/>
        </w:rPr>
        <w:t xml:space="preserve"> </w:t>
      </w:r>
      <w:r w:rsidR="00814180" w:rsidRPr="002A3F81">
        <w:rPr>
          <w:rFonts w:ascii="Times New Roman" w:hAnsi="Times New Roman" w:cs="Times New Roman"/>
          <w:sz w:val="28"/>
          <w:szCs w:val="28"/>
        </w:rPr>
        <w:t>ул.</w:t>
      </w:r>
      <w:r w:rsidR="00CD7FF1" w:rsidRPr="002A3F81">
        <w:rPr>
          <w:rFonts w:ascii="Times New Roman" w:hAnsi="Times New Roman" w:cs="Times New Roman"/>
          <w:sz w:val="28"/>
          <w:szCs w:val="28"/>
        </w:rPr>
        <w:t xml:space="preserve"> </w:t>
      </w:r>
      <w:r w:rsidR="00814180" w:rsidRPr="002A3F81">
        <w:rPr>
          <w:rFonts w:ascii="Times New Roman" w:hAnsi="Times New Roman" w:cs="Times New Roman"/>
          <w:sz w:val="28"/>
          <w:szCs w:val="28"/>
        </w:rPr>
        <w:t>Институтская, 39, ул. 10 мкр,1, ул.</w:t>
      </w:r>
      <w:r w:rsidR="00CD7FF1" w:rsidRPr="002A3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180" w:rsidRPr="002A3F81">
        <w:rPr>
          <w:rFonts w:ascii="Times New Roman" w:hAnsi="Times New Roman" w:cs="Times New Roman"/>
          <w:sz w:val="28"/>
          <w:szCs w:val="28"/>
        </w:rPr>
        <w:t>Ноградская</w:t>
      </w:r>
      <w:proofErr w:type="spellEnd"/>
      <w:r w:rsidR="00814180" w:rsidRPr="002A3F81">
        <w:rPr>
          <w:rFonts w:ascii="Times New Roman" w:hAnsi="Times New Roman" w:cs="Times New Roman"/>
          <w:sz w:val="28"/>
          <w:szCs w:val="28"/>
        </w:rPr>
        <w:t>, 28</w:t>
      </w:r>
      <w:r w:rsidR="00EF56E9" w:rsidRPr="002A3F81">
        <w:rPr>
          <w:rFonts w:ascii="Times New Roman" w:hAnsi="Times New Roman" w:cs="Times New Roman"/>
          <w:sz w:val="28"/>
          <w:szCs w:val="28"/>
        </w:rPr>
        <w:t xml:space="preserve">, пр.Строителей,37, </w:t>
      </w:r>
      <w:r w:rsidR="0094767E" w:rsidRPr="002A3F81">
        <w:rPr>
          <w:rFonts w:ascii="Times New Roman" w:hAnsi="Times New Roman" w:cs="Times New Roman"/>
          <w:sz w:val="28"/>
          <w:szCs w:val="28"/>
        </w:rPr>
        <w:t xml:space="preserve">ул. Вершинина,8, </w:t>
      </w:r>
      <w:r w:rsidR="00EF56E9" w:rsidRPr="002A3F81">
        <w:rPr>
          <w:rFonts w:ascii="Times New Roman" w:hAnsi="Times New Roman" w:cs="Times New Roman"/>
          <w:sz w:val="28"/>
          <w:szCs w:val="28"/>
        </w:rPr>
        <w:t>ул. Институтская,5а,</w:t>
      </w:r>
      <w:r w:rsidR="0094767E" w:rsidRPr="002A3F81">
        <w:rPr>
          <w:rFonts w:ascii="Times New Roman" w:hAnsi="Times New Roman" w:cs="Times New Roman"/>
          <w:sz w:val="28"/>
          <w:szCs w:val="28"/>
        </w:rPr>
        <w:t xml:space="preserve"> </w:t>
      </w:r>
      <w:r w:rsidR="00EF56E9" w:rsidRPr="002A3F81">
        <w:rPr>
          <w:rFonts w:ascii="Times New Roman" w:hAnsi="Times New Roman" w:cs="Times New Roman"/>
          <w:sz w:val="28"/>
          <w:szCs w:val="28"/>
        </w:rPr>
        <w:t>34,</w:t>
      </w:r>
      <w:r w:rsidR="0094767E" w:rsidRPr="002A3F81">
        <w:rPr>
          <w:rFonts w:ascii="Times New Roman" w:hAnsi="Times New Roman" w:cs="Times New Roman"/>
          <w:sz w:val="28"/>
          <w:szCs w:val="28"/>
        </w:rPr>
        <w:t xml:space="preserve"> </w:t>
      </w:r>
      <w:r w:rsidR="00EF56E9" w:rsidRPr="002A3F81">
        <w:rPr>
          <w:rFonts w:ascii="Times New Roman" w:hAnsi="Times New Roman" w:cs="Times New Roman"/>
          <w:sz w:val="28"/>
          <w:szCs w:val="28"/>
        </w:rPr>
        <w:t>3а, ул.</w:t>
      </w:r>
      <w:r w:rsidR="0094767E" w:rsidRPr="002A3F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56E9" w:rsidRPr="002A3F81">
        <w:rPr>
          <w:rFonts w:ascii="Times New Roman" w:hAnsi="Times New Roman" w:cs="Times New Roman"/>
          <w:sz w:val="28"/>
          <w:szCs w:val="28"/>
        </w:rPr>
        <w:t>Ноградская</w:t>
      </w:r>
      <w:proofErr w:type="spellEnd"/>
      <w:r w:rsidR="00EF56E9" w:rsidRPr="002A3F81">
        <w:rPr>
          <w:rFonts w:ascii="Times New Roman" w:hAnsi="Times New Roman" w:cs="Times New Roman"/>
          <w:sz w:val="28"/>
          <w:szCs w:val="28"/>
        </w:rPr>
        <w:t xml:space="preserve"> 2А</w:t>
      </w:r>
      <w:r w:rsidR="0094767E" w:rsidRPr="002A3F81">
        <w:rPr>
          <w:rFonts w:ascii="Times New Roman" w:hAnsi="Times New Roman" w:cs="Times New Roman"/>
          <w:sz w:val="28"/>
          <w:szCs w:val="28"/>
        </w:rPr>
        <w:t>.</w:t>
      </w:r>
    </w:p>
    <w:p w:rsidR="00CD7FF1" w:rsidRPr="00334FCF" w:rsidRDefault="00EF56E9" w:rsidP="00814180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Ремонт осуществляли подрядные организации</w:t>
      </w:r>
      <w:r w:rsidR="0094767E" w:rsidRPr="00334FCF">
        <w:rPr>
          <w:rFonts w:ascii="Times New Roman" w:hAnsi="Times New Roman" w:cs="Times New Roman"/>
          <w:sz w:val="28"/>
          <w:szCs w:val="28"/>
        </w:rPr>
        <w:t>:</w:t>
      </w:r>
      <w:r w:rsidRPr="00334FCF">
        <w:rPr>
          <w:rFonts w:ascii="Times New Roman" w:hAnsi="Times New Roman" w:cs="Times New Roman"/>
          <w:sz w:val="28"/>
          <w:szCs w:val="28"/>
        </w:rPr>
        <w:t xml:space="preserve"> ООО «Фортуна», </w:t>
      </w:r>
      <w:r w:rsidR="00814180" w:rsidRPr="00334FCF">
        <w:rPr>
          <w:rFonts w:ascii="Times New Roman" w:hAnsi="Times New Roman" w:cs="Times New Roman"/>
          <w:sz w:val="28"/>
          <w:szCs w:val="28"/>
        </w:rPr>
        <w:t xml:space="preserve">ООО </w:t>
      </w:r>
      <w:r w:rsidRPr="00334FCF">
        <w:rPr>
          <w:rFonts w:ascii="Times New Roman" w:hAnsi="Times New Roman" w:cs="Times New Roman"/>
          <w:sz w:val="28"/>
          <w:szCs w:val="28"/>
        </w:rPr>
        <w:t>«</w:t>
      </w:r>
      <w:r w:rsidR="00814180" w:rsidRPr="00334FCF">
        <w:rPr>
          <w:rFonts w:ascii="Times New Roman" w:hAnsi="Times New Roman" w:cs="Times New Roman"/>
          <w:sz w:val="28"/>
          <w:szCs w:val="28"/>
        </w:rPr>
        <w:t>АРАРАТ</w:t>
      </w:r>
      <w:r w:rsidRPr="00334FCF">
        <w:rPr>
          <w:rFonts w:ascii="Times New Roman" w:hAnsi="Times New Roman" w:cs="Times New Roman"/>
          <w:sz w:val="28"/>
          <w:szCs w:val="28"/>
        </w:rPr>
        <w:t>»,</w:t>
      </w:r>
      <w:r w:rsidR="0094767E" w:rsidRPr="00334FCF">
        <w:rPr>
          <w:rFonts w:ascii="Times New Roman" w:hAnsi="Times New Roman" w:cs="Times New Roman"/>
          <w:sz w:val="28"/>
          <w:szCs w:val="28"/>
        </w:rPr>
        <w:t xml:space="preserve"> </w:t>
      </w:r>
      <w:r w:rsidRPr="00334FCF">
        <w:rPr>
          <w:rFonts w:ascii="Times New Roman" w:hAnsi="Times New Roman" w:cs="Times New Roman"/>
          <w:sz w:val="28"/>
          <w:szCs w:val="28"/>
        </w:rPr>
        <w:t>ООО «Империя».</w:t>
      </w:r>
    </w:p>
    <w:p w:rsidR="005A6D0D" w:rsidRPr="00334FCF" w:rsidRDefault="005A6D0D" w:rsidP="00D818AA">
      <w:pPr>
        <w:pStyle w:val="ab"/>
        <w:widowControl w:val="0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- Благоустройство 6 общественных территорий: «Молодежный парк»; «Сквер Семьи»; пешеходная аллея по ул. Обручева; «Сквер Спортсменов»; сквер у «ДК Северный 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Маганак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>»; «Парк Мира» на Красной горке</w:t>
      </w:r>
      <w:r w:rsidR="00EF56E9" w:rsidRPr="00334FCF">
        <w:rPr>
          <w:rFonts w:ascii="Times New Roman" w:hAnsi="Times New Roman" w:cs="Times New Roman"/>
          <w:sz w:val="28"/>
          <w:szCs w:val="28"/>
        </w:rPr>
        <w:t xml:space="preserve"> на сумму - </w:t>
      </w:r>
      <w:r w:rsidRPr="00334FCF">
        <w:rPr>
          <w:rFonts w:ascii="Times New Roman" w:hAnsi="Times New Roman" w:cs="Times New Roman"/>
          <w:sz w:val="28"/>
          <w:szCs w:val="28"/>
        </w:rPr>
        <w:t>32 843,9тыс. руб.</w:t>
      </w:r>
    </w:p>
    <w:p w:rsidR="0094767E" w:rsidRPr="00334FCF" w:rsidRDefault="00EF56E9" w:rsidP="00EF56E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Работы осуществляли подрядные организации ООО </w:t>
      </w:r>
      <w:r w:rsidR="0094767E" w:rsidRPr="00334FCF">
        <w:rPr>
          <w:rFonts w:ascii="Times New Roman" w:hAnsi="Times New Roman" w:cs="Times New Roman"/>
          <w:sz w:val="28"/>
          <w:szCs w:val="28"/>
        </w:rPr>
        <w:t>«</w:t>
      </w:r>
      <w:r w:rsidRPr="00334FCF">
        <w:rPr>
          <w:rFonts w:ascii="Times New Roman" w:hAnsi="Times New Roman" w:cs="Times New Roman"/>
          <w:sz w:val="28"/>
          <w:szCs w:val="28"/>
        </w:rPr>
        <w:t>ТУК</w:t>
      </w:r>
      <w:r w:rsidR="0094767E" w:rsidRPr="00334FCF">
        <w:rPr>
          <w:rFonts w:ascii="Times New Roman" w:hAnsi="Times New Roman" w:cs="Times New Roman"/>
          <w:sz w:val="28"/>
          <w:szCs w:val="28"/>
        </w:rPr>
        <w:t>»</w:t>
      </w:r>
      <w:r w:rsidRPr="00334FCF">
        <w:rPr>
          <w:rFonts w:ascii="Times New Roman" w:hAnsi="Times New Roman" w:cs="Times New Roman"/>
          <w:sz w:val="28"/>
          <w:szCs w:val="28"/>
        </w:rPr>
        <w:t xml:space="preserve">, ООО </w:t>
      </w:r>
      <w:r w:rsidR="0094767E" w:rsidRPr="00334F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СибирьЭнерго</w:t>
      </w:r>
      <w:proofErr w:type="spellEnd"/>
      <w:r w:rsidR="0094767E" w:rsidRPr="00334FCF">
        <w:rPr>
          <w:rFonts w:ascii="Times New Roman" w:hAnsi="Times New Roman" w:cs="Times New Roman"/>
          <w:sz w:val="28"/>
          <w:szCs w:val="28"/>
        </w:rPr>
        <w:t>»</w:t>
      </w:r>
      <w:r w:rsidRPr="00334FCF">
        <w:rPr>
          <w:rFonts w:ascii="Times New Roman" w:hAnsi="Times New Roman" w:cs="Times New Roman"/>
          <w:sz w:val="28"/>
          <w:szCs w:val="28"/>
        </w:rPr>
        <w:t xml:space="preserve">, ООО </w:t>
      </w:r>
      <w:r w:rsidR="0094767E" w:rsidRPr="00334FCF">
        <w:rPr>
          <w:rFonts w:ascii="Times New Roman" w:hAnsi="Times New Roman" w:cs="Times New Roman"/>
          <w:sz w:val="28"/>
          <w:szCs w:val="28"/>
        </w:rPr>
        <w:t>«</w:t>
      </w:r>
      <w:r w:rsidRPr="00334FCF">
        <w:rPr>
          <w:rFonts w:ascii="Times New Roman" w:hAnsi="Times New Roman" w:cs="Times New Roman"/>
          <w:sz w:val="28"/>
          <w:szCs w:val="28"/>
        </w:rPr>
        <w:t>Детские площадки</w:t>
      </w:r>
      <w:r w:rsidR="0094767E" w:rsidRPr="00334FCF">
        <w:rPr>
          <w:rFonts w:ascii="Times New Roman" w:hAnsi="Times New Roman" w:cs="Times New Roman"/>
          <w:sz w:val="28"/>
          <w:szCs w:val="28"/>
        </w:rPr>
        <w:t>»</w:t>
      </w:r>
      <w:r w:rsidRPr="00334FCF">
        <w:rPr>
          <w:rFonts w:ascii="Times New Roman" w:hAnsi="Times New Roman" w:cs="Times New Roman"/>
          <w:sz w:val="28"/>
          <w:szCs w:val="28"/>
        </w:rPr>
        <w:t xml:space="preserve">, ИП Хорошев, ИП 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Шахпазян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EF56E9" w:rsidRPr="00334FCF" w:rsidRDefault="00EF56E9" w:rsidP="00EF56E9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Отремонтирована пешеходная дорожка по ул. Обручева, произведено асфальтирование сквера Спортсменов. Установлено освещение сквера Семьи. Установлено освещение Молодежного парка, а также установлена входная зона. Установлены малые архитектурные формы на пешеходной аллее по ул. Обручева. Произведены земляные работы в Парке Мира</w:t>
      </w:r>
      <w:r w:rsidR="00664DB6" w:rsidRPr="00334FCF">
        <w:rPr>
          <w:rFonts w:ascii="Times New Roman" w:hAnsi="Times New Roman" w:cs="Times New Roman"/>
          <w:sz w:val="28"/>
          <w:szCs w:val="28"/>
        </w:rPr>
        <w:t xml:space="preserve"> </w:t>
      </w:r>
      <w:r w:rsidR="00231BFE" w:rsidRPr="00334FCF">
        <w:rPr>
          <w:rFonts w:ascii="Times New Roman" w:hAnsi="Times New Roman" w:cs="Times New Roman"/>
          <w:sz w:val="28"/>
          <w:szCs w:val="28"/>
        </w:rPr>
        <w:t>и в</w:t>
      </w:r>
      <w:r w:rsidRPr="00334FCF">
        <w:rPr>
          <w:rFonts w:ascii="Times New Roman" w:hAnsi="Times New Roman" w:cs="Times New Roman"/>
          <w:sz w:val="28"/>
          <w:szCs w:val="28"/>
        </w:rPr>
        <w:t xml:space="preserve"> сквере Северный 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Маганак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>.</w:t>
      </w:r>
    </w:p>
    <w:p w:rsidR="005A6D0D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34FCF">
        <w:rPr>
          <w:rFonts w:ascii="Times New Roman" w:hAnsi="Times New Roman" w:cs="Times New Roman"/>
          <w:sz w:val="28"/>
          <w:szCs w:val="28"/>
          <w:u w:val="single"/>
        </w:rPr>
        <w:t>«Обеспечение устойчивого сокращения непригодного для проживания жилищного фонда».</w:t>
      </w:r>
    </w:p>
    <w:p w:rsidR="00522F30" w:rsidRPr="00334FCF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на 2024 год составляет 99 466,0 тыс. руб., </w:t>
      </w:r>
      <w:r w:rsidR="004C2179" w:rsidRPr="00334FCF">
        <w:rPr>
          <w:rFonts w:ascii="Times New Roman" w:hAnsi="Times New Roman" w:cs="Times New Roman"/>
          <w:sz w:val="28"/>
          <w:szCs w:val="28"/>
        </w:rPr>
        <w:t xml:space="preserve">- </w:t>
      </w:r>
      <w:r w:rsidRPr="00334FCF">
        <w:rPr>
          <w:rFonts w:ascii="Times New Roman" w:hAnsi="Times New Roman" w:cs="Times New Roman"/>
          <w:sz w:val="28"/>
          <w:szCs w:val="28"/>
        </w:rPr>
        <w:t>47 семей обеспечены новым жильем.</w:t>
      </w:r>
    </w:p>
    <w:p w:rsidR="005A6D0D" w:rsidRDefault="005A6D0D" w:rsidP="005A6D0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22F30" w:rsidRPr="00334FCF" w:rsidRDefault="00522F30" w:rsidP="00664DB6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A"/>
          <w:kern w:val="36"/>
          <w:sz w:val="28"/>
          <w:szCs w:val="28"/>
        </w:rPr>
      </w:pPr>
      <w:r w:rsidRPr="00334FCF">
        <w:rPr>
          <w:rFonts w:ascii="Times New Roman" w:hAnsi="Times New Roman" w:cs="Times New Roman"/>
          <w:b/>
          <w:bCs/>
          <w:color w:val="00000A"/>
          <w:kern w:val="36"/>
          <w:sz w:val="28"/>
          <w:szCs w:val="28"/>
        </w:rPr>
        <w:t>ФИНАНСОВОЕ СОСТОЯНИЕ ОРГАНИЗАЦИЙ</w:t>
      </w:r>
    </w:p>
    <w:p w:rsidR="00522F30" w:rsidRPr="00334FCF" w:rsidRDefault="00522F30" w:rsidP="00FC54B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FCF">
        <w:rPr>
          <w:rFonts w:ascii="Times New Roman" w:hAnsi="Times New Roman" w:cs="Times New Roman"/>
          <w:color w:val="000000"/>
          <w:sz w:val="28"/>
          <w:szCs w:val="28"/>
        </w:rPr>
        <w:t>За 202</w:t>
      </w:r>
      <w:r w:rsidR="001E5492" w:rsidRPr="00334FC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год сальдированный финансовый результат (прибыль минус убыток) организаций (без </w:t>
      </w:r>
      <w:bookmarkStart w:id="4" w:name="_Hlk190169483"/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субъектов малого предпринимательства) составил </w:t>
      </w:r>
      <w:r w:rsidR="001E5492" w:rsidRPr="00334FCF">
        <w:rPr>
          <w:rFonts w:ascii="Times New Roman" w:hAnsi="Times New Roman" w:cs="Times New Roman"/>
          <w:color w:val="000000"/>
          <w:sz w:val="28"/>
          <w:szCs w:val="28"/>
        </w:rPr>
        <w:t>10 123,7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 убытков, за 202</w:t>
      </w:r>
      <w:r w:rsidR="001E5492" w:rsidRPr="00334FC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1E5492" w:rsidRPr="00334FCF">
        <w:rPr>
          <w:rFonts w:ascii="Times New Roman" w:hAnsi="Times New Roman" w:cs="Times New Roman"/>
          <w:color w:val="000000"/>
          <w:sz w:val="28"/>
          <w:szCs w:val="28"/>
        </w:rPr>
        <w:t>убыток составлял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5492" w:rsidRPr="00334FCF">
        <w:rPr>
          <w:rFonts w:ascii="Times New Roman" w:hAnsi="Times New Roman" w:cs="Times New Roman"/>
          <w:color w:val="000000"/>
          <w:sz w:val="28"/>
          <w:szCs w:val="28"/>
        </w:rPr>
        <w:t>683,3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млн. рублей.</w:t>
      </w:r>
    </w:p>
    <w:p w:rsidR="00522F30" w:rsidRPr="00334FCF" w:rsidRDefault="00522F30" w:rsidP="00FC54B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Убыток </w:t>
      </w:r>
      <w:r w:rsidR="00430F79" w:rsidRPr="00334FCF">
        <w:rPr>
          <w:rFonts w:ascii="Times New Roman" w:hAnsi="Times New Roman" w:cs="Times New Roman"/>
          <w:color w:val="000000"/>
          <w:sz w:val="28"/>
          <w:szCs w:val="28"/>
        </w:rPr>
        <w:t>предприятий и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 за 202</w:t>
      </w:r>
      <w:r w:rsidR="00430F79" w:rsidRPr="00334FC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 </w:t>
      </w:r>
      <w:r w:rsidR="00430F79" w:rsidRPr="00334FCF">
        <w:rPr>
          <w:rFonts w:ascii="Times New Roman" w:hAnsi="Times New Roman" w:cs="Times New Roman"/>
          <w:color w:val="000000"/>
          <w:sz w:val="28"/>
          <w:szCs w:val="28"/>
        </w:rPr>
        <w:t>11 014,3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млн</w:t>
      </w:r>
      <w:r w:rsidR="00430F79" w:rsidRPr="00334FC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рублей, что на 3</w:t>
      </w:r>
      <w:r w:rsidR="00430F79" w:rsidRPr="00334FCF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% </w:t>
      </w:r>
      <w:r w:rsidR="00430F79" w:rsidRPr="00334FCF">
        <w:rPr>
          <w:rFonts w:ascii="Times New Roman" w:hAnsi="Times New Roman" w:cs="Times New Roman"/>
          <w:color w:val="000000"/>
          <w:sz w:val="28"/>
          <w:szCs w:val="28"/>
        </w:rPr>
        <w:t>боль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>ше, чем за 202</w:t>
      </w:r>
      <w:r w:rsidR="00430F79" w:rsidRPr="00334FC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430F79"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(2 505,7 млн.</w:t>
      </w:r>
      <w:r w:rsidR="003D3B0D"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0F79" w:rsidRPr="00334FCF">
        <w:rPr>
          <w:rFonts w:ascii="Times New Roman" w:hAnsi="Times New Roman" w:cs="Times New Roman"/>
          <w:color w:val="000000"/>
          <w:sz w:val="28"/>
          <w:szCs w:val="28"/>
        </w:rPr>
        <w:t>руб.)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136C1" w:rsidRPr="00334FCF" w:rsidRDefault="00522F30" w:rsidP="00FC54B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Прибыль </w:t>
      </w:r>
      <w:r w:rsidR="004136C1"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предприятий и 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>организаций в 202</w:t>
      </w:r>
      <w:r w:rsidR="004136C1"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году </w:t>
      </w:r>
      <w:r w:rsidR="004136C1"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сократилась на 51% и 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="004136C1" w:rsidRPr="00334FCF">
        <w:rPr>
          <w:rFonts w:ascii="Times New Roman" w:hAnsi="Times New Roman" w:cs="Times New Roman"/>
          <w:color w:val="000000"/>
          <w:sz w:val="28"/>
          <w:szCs w:val="28"/>
        </w:rPr>
        <w:t>ставила 890,6 млн. руб. в сравнении с 2023 годом (1 822,4 млн. руб.).</w:t>
      </w:r>
    </w:p>
    <w:p w:rsidR="00522F30" w:rsidRPr="00334FCF" w:rsidRDefault="004136C1" w:rsidP="00FC54B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FCF">
        <w:rPr>
          <w:rFonts w:ascii="Times New Roman" w:hAnsi="Times New Roman" w:cs="Times New Roman"/>
          <w:color w:val="000000"/>
          <w:sz w:val="28"/>
          <w:szCs w:val="28"/>
        </w:rPr>
        <w:t>По полученным статистическим данным</w:t>
      </w:r>
      <w:r w:rsidR="00504CF1" w:rsidRPr="00334F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в общем объеме отчитывающихся предприятий и организаций</w:t>
      </w:r>
      <w:r w:rsidR="00504CF1" w:rsidRPr="00334F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прибыльные и убыточные </w:t>
      </w:r>
      <w:r w:rsidR="00504CF1" w:rsidRPr="00334FCF">
        <w:rPr>
          <w:rFonts w:ascii="Times New Roman" w:hAnsi="Times New Roman" w:cs="Times New Roman"/>
          <w:color w:val="000000"/>
          <w:sz w:val="28"/>
          <w:szCs w:val="28"/>
        </w:rPr>
        <w:t>имеют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равны</w:t>
      </w:r>
      <w:r w:rsidR="00504CF1" w:rsidRPr="00334FCF">
        <w:rPr>
          <w:rFonts w:ascii="Times New Roman" w:hAnsi="Times New Roman" w:cs="Times New Roman"/>
          <w:color w:val="000000"/>
          <w:sz w:val="28"/>
          <w:szCs w:val="28"/>
        </w:rPr>
        <w:t>й удельный вес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22F30" w:rsidRPr="00334FCF" w:rsidRDefault="00522F30" w:rsidP="00FC54B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доля убытков приходится на предприятия добычи полезных ископаемых, что связано с снижением цены на уголь и сокращением отгрузки угля. Положительное финансовое сальдо наблюдается на </w:t>
      </w:r>
      <w:r w:rsidR="00904508" w:rsidRPr="00334FCF">
        <w:rPr>
          <w:rFonts w:ascii="Times New Roman" w:hAnsi="Times New Roman" w:cs="Times New Roman"/>
          <w:color w:val="000000"/>
          <w:sz w:val="28"/>
          <w:szCs w:val="28"/>
        </w:rPr>
        <w:t>обрабатывающих производствах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04508" w:rsidRPr="00334FCF">
        <w:rPr>
          <w:rFonts w:ascii="Times New Roman" w:hAnsi="Times New Roman" w:cs="Times New Roman"/>
          <w:color w:val="000000"/>
          <w:sz w:val="28"/>
          <w:szCs w:val="28"/>
        </w:rPr>
        <w:t>290,3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рублей)</w:t>
      </w:r>
      <w:r w:rsidR="00904508" w:rsidRPr="00334FCF">
        <w:rPr>
          <w:rFonts w:ascii="Times New Roman" w:hAnsi="Times New Roman" w:cs="Times New Roman"/>
          <w:color w:val="000000"/>
          <w:sz w:val="28"/>
          <w:szCs w:val="28"/>
        </w:rPr>
        <w:t>, но по отношению к 2023 году показатель снизился на 46,2%</w:t>
      </w:r>
    </w:p>
    <w:p w:rsidR="00522F30" w:rsidRPr="00334FCF" w:rsidRDefault="00522F30" w:rsidP="00FC54B3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FCF">
        <w:rPr>
          <w:rFonts w:ascii="Times New Roman" w:hAnsi="Times New Roman" w:cs="Times New Roman"/>
          <w:color w:val="000000"/>
          <w:sz w:val="28"/>
          <w:szCs w:val="28"/>
        </w:rPr>
        <w:t>Финансовое состояние предприятий и организаций города характеризуется превышением на 2</w:t>
      </w:r>
      <w:r w:rsidR="001E5492" w:rsidRPr="00334FCF">
        <w:rPr>
          <w:rFonts w:ascii="Times New Roman" w:hAnsi="Times New Roman" w:cs="Times New Roman"/>
          <w:color w:val="000000"/>
          <w:sz w:val="28"/>
          <w:szCs w:val="28"/>
        </w:rPr>
        <w:t>55%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кредиторской задолженности (</w:t>
      </w:r>
      <w:r w:rsidR="001E5492" w:rsidRPr="00334FCF">
        <w:rPr>
          <w:rFonts w:ascii="Times New Roman" w:hAnsi="Times New Roman" w:cs="Times New Roman"/>
          <w:color w:val="000000"/>
          <w:sz w:val="28"/>
          <w:szCs w:val="28"/>
        </w:rPr>
        <w:t>39 907,8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млн. руб.) над дебиторской задолженностью (11</w:t>
      </w:r>
      <w:r w:rsidR="001E5492"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267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E5492" w:rsidRPr="00334FC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млн. руб.).</w:t>
      </w:r>
    </w:p>
    <w:p w:rsidR="00C12038" w:rsidRPr="00334FCF" w:rsidRDefault="00522F30" w:rsidP="00FC54B3">
      <w:pPr>
        <w:widowControl w:val="0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4FCF">
        <w:rPr>
          <w:rFonts w:ascii="Times New Roman" w:hAnsi="Times New Roman" w:cs="Times New Roman"/>
          <w:color w:val="000000"/>
          <w:sz w:val="28"/>
          <w:szCs w:val="28"/>
        </w:rPr>
        <w:t>Низкий финансовый результат в 202</w:t>
      </w:r>
      <w:r w:rsidR="001E5492" w:rsidRPr="00334FC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году сопровождается прежде всего снижением объемов добычи полезных ископаемых, так как отрасль является градообразующей</w:t>
      </w:r>
      <w:bookmarkEnd w:id="4"/>
      <w:r w:rsidR="00C12038" w:rsidRPr="00334FCF">
        <w:rPr>
          <w:rFonts w:ascii="Times New Roman" w:hAnsi="Times New Roman" w:cs="Times New Roman"/>
          <w:color w:val="000000"/>
          <w:sz w:val="28"/>
          <w:szCs w:val="28"/>
        </w:rPr>
        <w:t xml:space="preserve"> и формирует финансово составляющую ряда отраслей, непосредственно влияет на финансовый результат по городу.</w:t>
      </w:r>
    </w:p>
    <w:p w:rsidR="00C12038" w:rsidRPr="00334FCF" w:rsidRDefault="00C12038" w:rsidP="00FC54B3">
      <w:pPr>
        <w:widowControl w:val="0"/>
        <w:spacing w:line="276" w:lineRule="auto"/>
        <w:ind w:right="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FCF">
        <w:rPr>
          <w:rFonts w:ascii="Times New Roman" w:hAnsi="Times New Roman" w:cs="Times New Roman"/>
          <w:b/>
          <w:bCs/>
          <w:sz w:val="28"/>
          <w:szCs w:val="28"/>
        </w:rPr>
        <w:t>ЖИЛИЩНО-КОММУНАЛЬНОЕ ХОЗЯЙСТВО</w:t>
      </w:r>
    </w:p>
    <w:p w:rsidR="00664DB6" w:rsidRPr="00334FCF" w:rsidRDefault="00C12038" w:rsidP="00664DB6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На обслуживании жилищно-коммунального хозяйства находится 5 096,8 млн. м2 жилого фонда из них 2 947,87 млн. м2 площадь жилых помещений в многоквартирных домах, 1740,24 млн. м2 - частного сектора и 408,69 тыс. м2 - блокированная застройка.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b/>
          <w:bCs/>
          <w:sz w:val="28"/>
          <w:szCs w:val="28"/>
        </w:rPr>
        <w:t>Теплоснабжение и водоснабжение.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Отопление жилищного фонда и объектов социального назначения обеспечивают 53 котельных, в том числе: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ООО «ТЭР» - 25 частных котельных;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МУП «ГТХ» - 25 муниципальных котельных;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ООО «ОФ «</w:t>
      </w:r>
      <w:proofErr w:type="spellStart"/>
      <w:r w:rsidRPr="00334FCF">
        <w:rPr>
          <w:rFonts w:ascii="Times New Roman" w:hAnsi="Times New Roman"/>
          <w:sz w:val="28"/>
          <w:szCs w:val="28"/>
        </w:rPr>
        <w:t>Прокопьевскуголь</w:t>
      </w:r>
      <w:proofErr w:type="spellEnd"/>
      <w:r w:rsidRPr="00334FCF">
        <w:rPr>
          <w:rFonts w:ascii="Times New Roman" w:hAnsi="Times New Roman"/>
          <w:sz w:val="28"/>
          <w:szCs w:val="28"/>
        </w:rPr>
        <w:t>» – 1 шт.;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ООО «</w:t>
      </w:r>
      <w:proofErr w:type="spellStart"/>
      <w:r w:rsidRPr="00334FCF">
        <w:rPr>
          <w:rFonts w:ascii="Times New Roman" w:hAnsi="Times New Roman"/>
          <w:sz w:val="28"/>
          <w:szCs w:val="28"/>
        </w:rPr>
        <w:t>НИИуглеобогащения</w:t>
      </w:r>
      <w:proofErr w:type="spellEnd"/>
      <w:r w:rsidRPr="00334FCF">
        <w:rPr>
          <w:rFonts w:ascii="Times New Roman" w:hAnsi="Times New Roman"/>
          <w:sz w:val="28"/>
          <w:szCs w:val="28"/>
        </w:rPr>
        <w:t>» – 1 шт.;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МУП «ГЭТ» – 1 шт.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Главным направлением в работе по теплоснабжению является реализация мероприятий по оптимизации работы котельных.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Ведутся проектные работы по переключению нагрузок от котельных №№1, 9, 14, 15, 17 на новую </w:t>
      </w:r>
      <w:proofErr w:type="spellStart"/>
      <w:r w:rsidRPr="00334FCF">
        <w:rPr>
          <w:rFonts w:ascii="Times New Roman" w:hAnsi="Times New Roman"/>
          <w:sz w:val="28"/>
          <w:szCs w:val="28"/>
        </w:rPr>
        <w:t>блочно</w:t>
      </w:r>
      <w:proofErr w:type="spellEnd"/>
      <w:r w:rsidRPr="00334FCF">
        <w:rPr>
          <w:rFonts w:ascii="Times New Roman" w:hAnsi="Times New Roman"/>
          <w:sz w:val="28"/>
          <w:szCs w:val="28"/>
        </w:rPr>
        <w:t>-модульную котельную в районе стадиона «Шахтер» мощностью 12,5 МВт;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Выполнена реконструкция котельной №45 мощностью 6.5 Гкал/ч с полной модернизацией котельно-вспомогательного оборудования и переключением на нее нагрузок с котельных №</w:t>
      </w:r>
      <w:r w:rsidR="00664DB6" w:rsidRPr="00334FCF">
        <w:rPr>
          <w:rFonts w:ascii="Times New Roman" w:hAnsi="Times New Roman"/>
          <w:sz w:val="28"/>
          <w:szCs w:val="28"/>
        </w:rPr>
        <w:t xml:space="preserve"> </w:t>
      </w:r>
      <w:r w:rsidRPr="00334FCF">
        <w:rPr>
          <w:rFonts w:ascii="Times New Roman" w:hAnsi="Times New Roman"/>
          <w:sz w:val="28"/>
          <w:szCs w:val="28"/>
        </w:rPr>
        <w:t>44 и №</w:t>
      </w:r>
      <w:r w:rsidR="00664DB6" w:rsidRPr="00334FCF">
        <w:rPr>
          <w:rFonts w:ascii="Times New Roman" w:hAnsi="Times New Roman"/>
          <w:sz w:val="28"/>
          <w:szCs w:val="28"/>
        </w:rPr>
        <w:t xml:space="preserve"> </w:t>
      </w:r>
      <w:r w:rsidRPr="00334FCF">
        <w:rPr>
          <w:rFonts w:ascii="Times New Roman" w:hAnsi="Times New Roman"/>
          <w:sz w:val="28"/>
          <w:szCs w:val="28"/>
        </w:rPr>
        <w:t>46.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Заменено 4,9 км тепловых сетей, процент износа которых составлял 49%.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Водоснабжение и водоотведение в городе Прокопьевске осуществляет АО «ПО Водоканал», на обслуживании которого находится 559,1 км. в общей протяженности водопроводных сетей 983,9 км.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За 2024 год для обеспечения жителей качественным водоснабжением и снижения потерь при транспортировке воды: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заменено 5,4 км водопроводных сетей;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проведен ремонт 5 канализационных наносных станций;</w:t>
      </w:r>
    </w:p>
    <w:p w:rsidR="00C12038" w:rsidRPr="00334FCF" w:rsidRDefault="00C12038" w:rsidP="000F2C85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проведен ремонт 6 очистных сооружений.</w:t>
      </w:r>
    </w:p>
    <w:p w:rsidR="00C12038" w:rsidRPr="00334FCF" w:rsidRDefault="00C12038" w:rsidP="002A3F81">
      <w:pPr>
        <w:pStyle w:val="aa"/>
        <w:widowControl w:val="0"/>
        <w:tabs>
          <w:tab w:val="left" w:pos="851"/>
        </w:tabs>
        <w:spacing w:before="240"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b/>
          <w:bCs/>
          <w:sz w:val="28"/>
          <w:szCs w:val="28"/>
        </w:rPr>
        <w:t>Жилищный фонд.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За 2024 год управляющими компаниями города, в рамках подготовки жилого фонда к осенне-зимнему периоду 2024-2025гг, выполнены следующие работы текущего ремонта: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- текущий ремонт кровель на 248 домах общей площадью – 13 370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334FCF">
        <w:rPr>
          <w:rFonts w:ascii="Times New Roman" w:hAnsi="Times New Roman" w:cs="Times New Roman"/>
          <w:sz w:val="28"/>
          <w:szCs w:val="28"/>
        </w:rPr>
        <w:t>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- текущий ремонт межпанельных швов – 10 500 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>.;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 -текущий ремонт водопроводных сетей – 280 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>.;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- текущий ремонт канализационных сетей – 620 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>.;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- текущий ремонт балконных плит и подъездных козырьков – 36 шт.;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- текущий ремонт подъездов – 150 шт.;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В рамках реализации Региональной программы капитального ремонта МКД Кемеровской области выполнены работы по замене и ремонту крыш, инженерных систем тепло-, водо-, электроснабжения, лифтов, ремонту фасадов и фундаментов в 120 МКД.</w:t>
      </w:r>
    </w:p>
    <w:p w:rsidR="00C12038" w:rsidRPr="00334FCF" w:rsidRDefault="00C12038" w:rsidP="002A3F81">
      <w:pPr>
        <w:widowControl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b/>
          <w:bCs/>
          <w:sz w:val="28"/>
          <w:szCs w:val="28"/>
        </w:rPr>
        <w:t xml:space="preserve">Благоустройство. 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В 2024 году проведены работы по благоустройству общественных территорий в рамках федерального проекта «Формирование комфортной городской среды» и региональной программы Инициативного бюджетирования «Твой Кузбасс – Твоя Инициатива». Благоустроенные территории: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Сквер «Пионер»;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- Сквер «Северный </w:t>
      </w:r>
      <w:proofErr w:type="spellStart"/>
      <w:r w:rsidRPr="00334FCF">
        <w:rPr>
          <w:rFonts w:ascii="Times New Roman" w:hAnsi="Times New Roman"/>
          <w:sz w:val="28"/>
          <w:szCs w:val="28"/>
        </w:rPr>
        <w:t>Маганак</w:t>
      </w:r>
      <w:proofErr w:type="spellEnd"/>
      <w:r w:rsidRPr="00334FCF">
        <w:rPr>
          <w:rFonts w:ascii="Times New Roman" w:hAnsi="Times New Roman"/>
          <w:sz w:val="28"/>
          <w:szCs w:val="28"/>
        </w:rPr>
        <w:t>»;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Сквер «Красная горка»;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Сквер «Березовая Роща»;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Сквер «Спортсменов»;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Пешеходная аллея по ул. Обручева;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Установка стелы «Город трудовой доблести»;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Замена освещения «Молодежный Парк»;</w:t>
      </w:r>
    </w:p>
    <w:p w:rsidR="00C12038" w:rsidRPr="00334FCF" w:rsidRDefault="00C12038" w:rsidP="00FC54B3">
      <w:pPr>
        <w:widowControl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Замена освещения «Сквер Семьи».</w:t>
      </w:r>
    </w:p>
    <w:p w:rsidR="00C12038" w:rsidRPr="00334FCF" w:rsidRDefault="00C12038" w:rsidP="00FC54B3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В 2024 году проведены работы по благоустройству 24 дворовых территорий в рамках федерального проекта «Формирование комфортной городской среды».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b/>
          <w:bCs/>
          <w:sz w:val="28"/>
          <w:szCs w:val="28"/>
        </w:rPr>
        <w:t>Программа «Дороги»:</w:t>
      </w:r>
    </w:p>
    <w:p w:rsidR="00C12038" w:rsidRPr="00334FCF" w:rsidRDefault="00C12038" w:rsidP="002A3F81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Содержание дорожно-мостового хозяйства составляет 213,3 км дорог в твердом покрытии. По состоянию на 01.01.2025 года выполнен текущий ремонт 4 км автомобильных дорог с полной заменой покрытия. Произведено 44 тыс. м2 ямочного ремонта.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b/>
          <w:bCs/>
          <w:sz w:val="28"/>
          <w:szCs w:val="28"/>
        </w:rPr>
        <w:t xml:space="preserve">Зеленое хозяйство. 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В рамках муниципальной программы «Жилищно-коммунальное хозяйство и благоустройство города Прокопьевска» на 2022-2024гг.: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произведена высадка 7350 саженцев хвойных пород;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посадка цветов, содержание клумб в скверах, парках и аллеях - 7500 м2;</w:t>
      </w:r>
    </w:p>
    <w:p w:rsidR="00C12038" w:rsidRPr="00334FCF" w:rsidRDefault="00C12038" w:rsidP="00C4418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- покос травы в скверах, парках и аллеях – 685 035 м2.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b/>
          <w:bCs/>
          <w:sz w:val="28"/>
          <w:szCs w:val="28"/>
        </w:rPr>
        <w:t>Частный жилой сектор.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В рамках муниципальной программы «Жилищно-коммунальное хозяйство и благоустройство города Прокопьевска» на 2022-2024гг. За 202</w:t>
      </w:r>
      <w:r w:rsidR="002147E3" w:rsidRPr="00334FCF">
        <w:rPr>
          <w:rFonts w:ascii="Times New Roman" w:hAnsi="Times New Roman"/>
          <w:sz w:val="28"/>
          <w:szCs w:val="28"/>
        </w:rPr>
        <w:t>4</w:t>
      </w:r>
      <w:r w:rsidRPr="00334FCF">
        <w:rPr>
          <w:rFonts w:ascii="Times New Roman" w:hAnsi="Times New Roman"/>
          <w:sz w:val="28"/>
          <w:szCs w:val="28"/>
        </w:rPr>
        <w:t xml:space="preserve"> год выполнено: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129 км.</w:t>
      </w:r>
      <w:r w:rsidR="00087E2F" w:rsidRPr="00334FCF">
        <w:rPr>
          <w:rFonts w:ascii="Times New Roman" w:hAnsi="Times New Roman"/>
          <w:sz w:val="28"/>
          <w:szCs w:val="28"/>
        </w:rPr>
        <w:t xml:space="preserve"> дорог </w:t>
      </w:r>
      <w:r w:rsidRPr="00334FCF">
        <w:rPr>
          <w:rFonts w:ascii="Times New Roman" w:hAnsi="Times New Roman"/>
          <w:sz w:val="28"/>
          <w:szCs w:val="28"/>
        </w:rPr>
        <w:t>отсыпано сколом асфальтобетона;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73 км.</w:t>
      </w:r>
      <w:r w:rsidR="00087E2F" w:rsidRPr="00334FCF">
        <w:rPr>
          <w:rFonts w:ascii="Times New Roman" w:hAnsi="Times New Roman"/>
          <w:sz w:val="28"/>
          <w:szCs w:val="28"/>
        </w:rPr>
        <w:t xml:space="preserve"> </w:t>
      </w:r>
      <w:r w:rsidRPr="00334FCF">
        <w:rPr>
          <w:rFonts w:ascii="Times New Roman" w:hAnsi="Times New Roman"/>
          <w:sz w:val="28"/>
          <w:szCs w:val="28"/>
        </w:rPr>
        <w:t>распланировано г</w:t>
      </w:r>
      <w:r w:rsidR="00087E2F" w:rsidRPr="00334FCF">
        <w:rPr>
          <w:rFonts w:ascii="Times New Roman" w:hAnsi="Times New Roman"/>
          <w:sz w:val="28"/>
          <w:szCs w:val="28"/>
        </w:rPr>
        <w:t>р</w:t>
      </w:r>
      <w:r w:rsidRPr="00334FCF">
        <w:rPr>
          <w:rFonts w:ascii="Times New Roman" w:hAnsi="Times New Roman"/>
          <w:sz w:val="28"/>
          <w:szCs w:val="28"/>
        </w:rPr>
        <w:t>ейдером;</w:t>
      </w:r>
    </w:p>
    <w:p w:rsidR="00C12038" w:rsidRPr="00334FCF" w:rsidRDefault="00087E2F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44 </w:t>
      </w:r>
      <w:r w:rsidR="00C12038" w:rsidRPr="00334FCF">
        <w:rPr>
          <w:rFonts w:ascii="Times New Roman" w:hAnsi="Times New Roman"/>
          <w:sz w:val="28"/>
          <w:szCs w:val="28"/>
        </w:rPr>
        <w:t>контейнер</w:t>
      </w:r>
      <w:r w:rsidRPr="00334FCF">
        <w:rPr>
          <w:rFonts w:ascii="Times New Roman" w:hAnsi="Times New Roman"/>
          <w:sz w:val="28"/>
          <w:szCs w:val="28"/>
        </w:rPr>
        <w:t>а</w:t>
      </w:r>
      <w:r w:rsidR="00C12038" w:rsidRPr="00334FCF">
        <w:rPr>
          <w:rFonts w:ascii="Times New Roman" w:hAnsi="Times New Roman"/>
          <w:sz w:val="28"/>
          <w:szCs w:val="28"/>
        </w:rPr>
        <w:t xml:space="preserve"> V – 0,75 м3 установлено; </w:t>
      </w:r>
    </w:p>
    <w:p w:rsidR="00C12038" w:rsidRPr="00334FCF" w:rsidRDefault="002147E3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10</w:t>
      </w:r>
      <w:r w:rsidR="00C12038" w:rsidRPr="00334FCF">
        <w:rPr>
          <w:rFonts w:ascii="Times New Roman" w:hAnsi="Times New Roman"/>
          <w:sz w:val="28"/>
          <w:szCs w:val="28"/>
        </w:rPr>
        <w:t>7</w:t>
      </w:r>
      <w:r w:rsidR="00087E2F" w:rsidRPr="00334FCF">
        <w:rPr>
          <w:rFonts w:ascii="Times New Roman" w:hAnsi="Times New Roman"/>
          <w:sz w:val="28"/>
          <w:szCs w:val="28"/>
        </w:rPr>
        <w:t xml:space="preserve"> к</w:t>
      </w:r>
      <w:r w:rsidR="00C12038" w:rsidRPr="00334FCF">
        <w:rPr>
          <w:rFonts w:ascii="Times New Roman" w:hAnsi="Times New Roman"/>
          <w:sz w:val="28"/>
          <w:szCs w:val="28"/>
        </w:rPr>
        <w:t>онтейнеров V – 7,8 м3 отремонтировано;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1</w:t>
      </w:r>
      <w:r w:rsidR="002147E3" w:rsidRPr="00334FCF">
        <w:rPr>
          <w:rFonts w:ascii="Times New Roman" w:hAnsi="Times New Roman"/>
          <w:sz w:val="28"/>
          <w:szCs w:val="28"/>
        </w:rPr>
        <w:t>1</w:t>
      </w:r>
      <w:r w:rsidRPr="00334FCF">
        <w:rPr>
          <w:rFonts w:ascii="Times New Roman" w:hAnsi="Times New Roman"/>
          <w:sz w:val="28"/>
          <w:szCs w:val="28"/>
        </w:rPr>
        <w:t xml:space="preserve"> </w:t>
      </w:r>
      <w:r w:rsidR="00087E2F" w:rsidRPr="00334FCF">
        <w:rPr>
          <w:rFonts w:ascii="Times New Roman" w:hAnsi="Times New Roman"/>
          <w:sz w:val="28"/>
          <w:szCs w:val="28"/>
        </w:rPr>
        <w:t>н</w:t>
      </w:r>
      <w:r w:rsidRPr="00334FCF">
        <w:rPr>
          <w:rFonts w:ascii="Times New Roman" w:hAnsi="Times New Roman"/>
          <w:sz w:val="28"/>
          <w:szCs w:val="28"/>
        </w:rPr>
        <w:t>есанкционированных свалок ликвидировано;</w:t>
      </w:r>
    </w:p>
    <w:p w:rsidR="00C12038" w:rsidRPr="00334FCF" w:rsidRDefault="002147E3" w:rsidP="00C44189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692</w:t>
      </w:r>
      <w:r w:rsidR="00C12038" w:rsidRPr="00334FCF">
        <w:rPr>
          <w:rFonts w:ascii="Times New Roman" w:hAnsi="Times New Roman"/>
          <w:sz w:val="28"/>
          <w:szCs w:val="28"/>
        </w:rPr>
        <w:t xml:space="preserve"> </w:t>
      </w:r>
      <w:r w:rsidR="00087E2F" w:rsidRPr="00334FCF">
        <w:rPr>
          <w:rFonts w:ascii="Times New Roman" w:hAnsi="Times New Roman"/>
          <w:sz w:val="28"/>
          <w:szCs w:val="28"/>
        </w:rPr>
        <w:t>свалки</w:t>
      </w:r>
      <w:r w:rsidR="00C12038" w:rsidRPr="00334FCF">
        <w:rPr>
          <w:rFonts w:ascii="Times New Roman" w:hAnsi="Times New Roman"/>
          <w:sz w:val="28"/>
          <w:szCs w:val="28"/>
        </w:rPr>
        <w:t xml:space="preserve"> на контейнерных площадках ликвидировано.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b/>
          <w:bCs/>
          <w:sz w:val="28"/>
          <w:szCs w:val="28"/>
        </w:rPr>
        <w:t>Бытовые услуги.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Всего в городе на обслуживании находится 7, из них 3 закрытые, кладбищ общей площадью </w:t>
      </w:r>
      <w:r w:rsidR="002147E3" w:rsidRPr="00334FCF">
        <w:rPr>
          <w:rFonts w:ascii="Times New Roman" w:hAnsi="Times New Roman"/>
          <w:sz w:val="28"/>
          <w:szCs w:val="28"/>
        </w:rPr>
        <w:t>195,24</w:t>
      </w:r>
      <w:r w:rsidRPr="00334FCF">
        <w:rPr>
          <w:rFonts w:ascii="Times New Roman" w:hAnsi="Times New Roman"/>
          <w:sz w:val="28"/>
          <w:szCs w:val="28"/>
        </w:rPr>
        <w:t xml:space="preserve"> га. С территории кладбищ собрано и вывезено </w:t>
      </w:r>
      <w:r w:rsidR="002147E3" w:rsidRPr="00334FCF">
        <w:rPr>
          <w:rFonts w:ascii="Times New Roman" w:hAnsi="Times New Roman"/>
          <w:sz w:val="28"/>
          <w:szCs w:val="28"/>
        </w:rPr>
        <w:t>84,8</w:t>
      </w:r>
      <w:r w:rsidRPr="00334FCF">
        <w:rPr>
          <w:rFonts w:ascii="Times New Roman" w:hAnsi="Times New Roman"/>
          <w:sz w:val="28"/>
          <w:szCs w:val="28"/>
        </w:rPr>
        <w:t xml:space="preserve"> м3 мусора.</w:t>
      </w:r>
    </w:p>
    <w:p w:rsidR="00C12038" w:rsidRPr="00334FCF" w:rsidRDefault="00C12038" w:rsidP="000F2C85">
      <w:pPr>
        <w:widowControl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Работы по содержанию кладбищ: скос травы, спил аварийных и сухих деревьев, кустарников, производился собственными силами без привлечения сторонних организаций. 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b/>
          <w:bCs/>
          <w:sz w:val="28"/>
          <w:szCs w:val="28"/>
        </w:rPr>
        <w:t>Свет.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Содержание линий уличного наружного освещения: 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На содержании находятся </w:t>
      </w:r>
      <w:r w:rsidR="002147E3" w:rsidRPr="00334FCF">
        <w:rPr>
          <w:rFonts w:ascii="Times New Roman" w:hAnsi="Times New Roman"/>
          <w:sz w:val="28"/>
          <w:szCs w:val="28"/>
        </w:rPr>
        <w:t>16</w:t>
      </w:r>
      <w:r w:rsidR="00AD427F" w:rsidRPr="00334FCF">
        <w:rPr>
          <w:rFonts w:ascii="Times New Roman" w:hAnsi="Times New Roman"/>
          <w:sz w:val="28"/>
          <w:szCs w:val="28"/>
        </w:rPr>
        <w:t>9</w:t>
      </w:r>
      <w:r w:rsidR="002147E3" w:rsidRPr="00334FCF">
        <w:rPr>
          <w:rFonts w:ascii="Times New Roman" w:hAnsi="Times New Roman"/>
          <w:sz w:val="28"/>
          <w:szCs w:val="28"/>
        </w:rPr>
        <w:t>,4</w:t>
      </w:r>
      <w:r w:rsidRPr="00334FCF">
        <w:rPr>
          <w:rFonts w:ascii="Times New Roman" w:hAnsi="Times New Roman"/>
          <w:sz w:val="28"/>
          <w:szCs w:val="28"/>
        </w:rPr>
        <w:t xml:space="preserve"> км линий уличного наружного освещения. Фактическое облуживание составляет 100 %.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За 202</w:t>
      </w:r>
      <w:r w:rsidR="002147E3" w:rsidRPr="00334FCF">
        <w:rPr>
          <w:rFonts w:ascii="Times New Roman" w:hAnsi="Times New Roman"/>
          <w:sz w:val="28"/>
          <w:szCs w:val="28"/>
        </w:rPr>
        <w:t>4</w:t>
      </w:r>
      <w:r w:rsidRPr="00334FCF">
        <w:rPr>
          <w:rFonts w:ascii="Times New Roman" w:hAnsi="Times New Roman"/>
          <w:sz w:val="28"/>
          <w:szCs w:val="28"/>
        </w:rPr>
        <w:t xml:space="preserve"> год произведены следующие работы: </w:t>
      </w:r>
    </w:p>
    <w:p w:rsidR="00C12038" w:rsidRPr="00334FCF" w:rsidRDefault="002147E3" w:rsidP="00FC54B3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о</w:t>
      </w:r>
      <w:r w:rsidR="00C12038" w:rsidRPr="00334FCF">
        <w:rPr>
          <w:rFonts w:ascii="Times New Roman" w:hAnsi="Times New Roman"/>
          <w:sz w:val="28"/>
          <w:szCs w:val="28"/>
        </w:rPr>
        <w:t xml:space="preserve">существлено строительство </w:t>
      </w:r>
      <w:r w:rsidRPr="00334FCF">
        <w:rPr>
          <w:rFonts w:ascii="Times New Roman" w:hAnsi="Times New Roman"/>
          <w:sz w:val="28"/>
          <w:szCs w:val="28"/>
        </w:rPr>
        <w:t>10,3</w:t>
      </w:r>
      <w:r w:rsidR="00C12038" w:rsidRPr="00334FCF">
        <w:rPr>
          <w:rFonts w:ascii="Times New Roman" w:hAnsi="Times New Roman"/>
          <w:sz w:val="28"/>
          <w:szCs w:val="28"/>
        </w:rPr>
        <w:t xml:space="preserve"> км линий искусственного освещения;</w:t>
      </w:r>
    </w:p>
    <w:p w:rsidR="00C12038" w:rsidRPr="00334FCF" w:rsidRDefault="002147E3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заменено 9,5</w:t>
      </w:r>
      <w:r w:rsidR="00C12038" w:rsidRPr="00334FCF">
        <w:rPr>
          <w:rFonts w:ascii="Times New Roman" w:hAnsi="Times New Roman"/>
          <w:sz w:val="28"/>
          <w:szCs w:val="28"/>
        </w:rPr>
        <w:t xml:space="preserve"> км провода АС на СИП;</w:t>
      </w:r>
    </w:p>
    <w:p w:rsidR="00C12038" w:rsidRPr="00334FCF" w:rsidRDefault="002147E3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заменено 2</w:t>
      </w:r>
      <w:r w:rsidR="00C12038" w:rsidRPr="00334FCF">
        <w:rPr>
          <w:rFonts w:ascii="Times New Roman" w:hAnsi="Times New Roman"/>
          <w:sz w:val="28"/>
          <w:szCs w:val="28"/>
        </w:rPr>
        <w:t>00 неработающих светильников на новые;</w:t>
      </w:r>
    </w:p>
    <w:p w:rsidR="00C12038" w:rsidRPr="00334FCF" w:rsidRDefault="002147E3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в </w:t>
      </w:r>
      <w:r w:rsidR="00C12038" w:rsidRPr="00334FCF">
        <w:rPr>
          <w:rFonts w:ascii="Times New Roman" w:hAnsi="Times New Roman"/>
          <w:sz w:val="28"/>
          <w:szCs w:val="28"/>
        </w:rPr>
        <w:t>1</w:t>
      </w:r>
      <w:r w:rsidRPr="00334FCF">
        <w:rPr>
          <w:rFonts w:ascii="Times New Roman" w:hAnsi="Times New Roman"/>
          <w:sz w:val="28"/>
          <w:szCs w:val="28"/>
        </w:rPr>
        <w:t>4</w:t>
      </w:r>
      <w:r w:rsidR="00C12038" w:rsidRPr="00334FCF">
        <w:rPr>
          <w:rFonts w:ascii="Times New Roman" w:hAnsi="Times New Roman"/>
          <w:sz w:val="28"/>
          <w:szCs w:val="28"/>
        </w:rPr>
        <w:t xml:space="preserve"> щитах заменено оборудование </w:t>
      </w:r>
    </w:p>
    <w:p w:rsidR="00C12038" w:rsidRPr="00334FCF" w:rsidRDefault="00AD427F" w:rsidP="002A3F81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Э</w:t>
      </w:r>
      <w:r w:rsidR="00C12038" w:rsidRPr="00334FCF">
        <w:rPr>
          <w:rFonts w:ascii="Times New Roman" w:hAnsi="Times New Roman"/>
          <w:sz w:val="28"/>
          <w:szCs w:val="28"/>
        </w:rPr>
        <w:t>энергосерв</w:t>
      </w:r>
      <w:r w:rsidR="00A4076D">
        <w:rPr>
          <w:rFonts w:ascii="Times New Roman" w:hAnsi="Times New Roman"/>
          <w:sz w:val="28"/>
          <w:szCs w:val="28"/>
        </w:rPr>
        <w:t>и</w:t>
      </w:r>
      <w:r w:rsidR="00C12038" w:rsidRPr="00334FCF">
        <w:rPr>
          <w:rFonts w:ascii="Times New Roman" w:hAnsi="Times New Roman"/>
          <w:sz w:val="28"/>
          <w:szCs w:val="28"/>
        </w:rPr>
        <w:t>сн</w:t>
      </w:r>
      <w:r w:rsidRPr="00334FCF">
        <w:rPr>
          <w:rFonts w:ascii="Times New Roman" w:hAnsi="Times New Roman"/>
          <w:sz w:val="28"/>
          <w:szCs w:val="28"/>
        </w:rPr>
        <w:t>ый</w:t>
      </w:r>
      <w:r w:rsidR="00C12038" w:rsidRPr="00334FCF">
        <w:rPr>
          <w:rFonts w:ascii="Times New Roman" w:hAnsi="Times New Roman"/>
          <w:sz w:val="28"/>
          <w:szCs w:val="28"/>
        </w:rPr>
        <w:t xml:space="preserve"> </w:t>
      </w:r>
      <w:r w:rsidRPr="00334FCF">
        <w:rPr>
          <w:rFonts w:ascii="Times New Roman" w:hAnsi="Times New Roman"/>
          <w:sz w:val="28"/>
          <w:szCs w:val="28"/>
        </w:rPr>
        <w:t xml:space="preserve">контракт заключен </w:t>
      </w:r>
      <w:r w:rsidR="00C12038" w:rsidRPr="00334FCF">
        <w:rPr>
          <w:rFonts w:ascii="Times New Roman" w:hAnsi="Times New Roman"/>
          <w:sz w:val="28"/>
          <w:szCs w:val="28"/>
        </w:rPr>
        <w:t>в 2022 году</w:t>
      </w:r>
      <w:r w:rsidRPr="00334FCF">
        <w:rPr>
          <w:rFonts w:ascii="Times New Roman" w:hAnsi="Times New Roman"/>
          <w:sz w:val="28"/>
          <w:szCs w:val="28"/>
        </w:rPr>
        <w:t>.</w:t>
      </w:r>
      <w:r w:rsidR="00C12038" w:rsidRPr="00334FCF">
        <w:rPr>
          <w:rFonts w:ascii="Times New Roman" w:hAnsi="Times New Roman"/>
          <w:sz w:val="28"/>
          <w:szCs w:val="28"/>
        </w:rPr>
        <w:t xml:space="preserve"> В 2022 году средний тариф</w:t>
      </w:r>
      <w:r w:rsidRPr="00334FCF">
        <w:rPr>
          <w:rFonts w:ascii="Times New Roman" w:hAnsi="Times New Roman"/>
          <w:sz w:val="28"/>
          <w:szCs w:val="28"/>
        </w:rPr>
        <w:t xml:space="preserve"> </w:t>
      </w:r>
      <w:r w:rsidR="00C12038" w:rsidRPr="00334FCF">
        <w:rPr>
          <w:rFonts w:ascii="Times New Roman" w:hAnsi="Times New Roman"/>
          <w:sz w:val="28"/>
          <w:szCs w:val="28"/>
        </w:rPr>
        <w:t>составил – 6,44 рублей за кВт, в 2023 году -7,28 рублей за кВт</w:t>
      </w:r>
      <w:r w:rsidR="00467702" w:rsidRPr="00334FCF">
        <w:rPr>
          <w:rFonts w:ascii="Times New Roman" w:hAnsi="Times New Roman"/>
          <w:sz w:val="28"/>
          <w:szCs w:val="28"/>
        </w:rPr>
        <w:t>, в 2024 году -7,69 рублей за кВт.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b/>
          <w:bCs/>
          <w:sz w:val="28"/>
          <w:szCs w:val="28"/>
        </w:rPr>
        <w:t xml:space="preserve">Экология. </w:t>
      </w:r>
      <w:r w:rsidRPr="00334FCF">
        <w:rPr>
          <w:rFonts w:ascii="Times New Roman" w:hAnsi="Times New Roman"/>
          <w:b/>
          <w:bCs/>
          <w:sz w:val="28"/>
          <w:szCs w:val="28"/>
        </w:rPr>
        <w:tab/>
      </w:r>
    </w:p>
    <w:p w:rsidR="00C12038" w:rsidRPr="00334FCF" w:rsidRDefault="00C12038" w:rsidP="00C44189">
      <w:pPr>
        <w:pStyle w:val="aa"/>
        <w:widowControl w:val="0"/>
        <w:tabs>
          <w:tab w:val="left" w:pos="851"/>
        </w:tabs>
        <w:spacing w:after="24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За 202</w:t>
      </w:r>
      <w:r w:rsidR="00611430" w:rsidRPr="00334FCF">
        <w:rPr>
          <w:rFonts w:ascii="Times New Roman" w:hAnsi="Times New Roman"/>
          <w:sz w:val="28"/>
          <w:szCs w:val="28"/>
        </w:rPr>
        <w:t>4</w:t>
      </w:r>
      <w:r w:rsidRPr="00334FCF">
        <w:rPr>
          <w:rFonts w:ascii="Times New Roman" w:hAnsi="Times New Roman"/>
          <w:sz w:val="28"/>
          <w:szCs w:val="28"/>
        </w:rPr>
        <w:t xml:space="preserve"> год отловлено </w:t>
      </w:r>
      <w:r w:rsidR="00611430" w:rsidRPr="00334FCF">
        <w:rPr>
          <w:rFonts w:ascii="Times New Roman" w:hAnsi="Times New Roman"/>
          <w:sz w:val="28"/>
          <w:szCs w:val="28"/>
        </w:rPr>
        <w:t>913</w:t>
      </w:r>
      <w:r w:rsidRPr="00334FCF">
        <w:rPr>
          <w:rFonts w:ascii="Times New Roman" w:hAnsi="Times New Roman"/>
          <w:sz w:val="28"/>
          <w:szCs w:val="28"/>
        </w:rPr>
        <w:t xml:space="preserve"> бродячих собак. 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34FCF">
        <w:rPr>
          <w:rFonts w:ascii="Times New Roman" w:hAnsi="Times New Roman"/>
          <w:b/>
          <w:bCs/>
          <w:sz w:val="28"/>
          <w:szCs w:val="28"/>
        </w:rPr>
        <w:t>Безопасность дорожного движения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Повышение безопасности дорожного движения.</w:t>
      </w:r>
    </w:p>
    <w:p w:rsidR="00C12038" w:rsidRPr="00334FCF" w:rsidRDefault="00C12038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За 202</w:t>
      </w:r>
      <w:r w:rsidR="00611430" w:rsidRPr="00334FCF">
        <w:rPr>
          <w:rFonts w:ascii="Times New Roman" w:hAnsi="Times New Roman"/>
          <w:sz w:val="28"/>
          <w:szCs w:val="28"/>
        </w:rPr>
        <w:t>4</w:t>
      </w:r>
      <w:r w:rsidRPr="00334FCF">
        <w:rPr>
          <w:rFonts w:ascii="Times New Roman" w:hAnsi="Times New Roman"/>
          <w:sz w:val="28"/>
          <w:szCs w:val="28"/>
        </w:rPr>
        <w:t xml:space="preserve"> год были осуществлены следующие мероприятия:</w:t>
      </w:r>
    </w:p>
    <w:p w:rsidR="00C12038" w:rsidRPr="00334FCF" w:rsidRDefault="00611430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установлено 426</w:t>
      </w:r>
      <w:r w:rsidR="00C12038" w:rsidRPr="00334FCF">
        <w:rPr>
          <w:rFonts w:ascii="Times New Roman" w:hAnsi="Times New Roman"/>
          <w:sz w:val="28"/>
          <w:szCs w:val="28"/>
        </w:rPr>
        <w:t xml:space="preserve"> шт. дорожных знаков;</w:t>
      </w:r>
    </w:p>
    <w:p w:rsidR="00C12038" w:rsidRPr="00334FCF" w:rsidRDefault="00611430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нанесено </w:t>
      </w:r>
      <w:r w:rsidR="00C12038" w:rsidRPr="00334FCF">
        <w:rPr>
          <w:rFonts w:ascii="Times New Roman" w:hAnsi="Times New Roman"/>
          <w:sz w:val="28"/>
          <w:szCs w:val="28"/>
        </w:rPr>
        <w:t>514 км. горизонтальн</w:t>
      </w:r>
      <w:r w:rsidRPr="00334FCF">
        <w:rPr>
          <w:rFonts w:ascii="Times New Roman" w:hAnsi="Times New Roman"/>
          <w:sz w:val="28"/>
          <w:szCs w:val="28"/>
        </w:rPr>
        <w:t>ой</w:t>
      </w:r>
      <w:r w:rsidR="00C12038" w:rsidRPr="00334FCF">
        <w:rPr>
          <w:rFonts w:ascii="Times New Roman" w:hAnsi="Times New Roman"/>
          <w:sz w:val="28"/>
          <w:szCs w:val="28"/>
        </w:rPr>
        <w:t xml:space="preserve"> разметк</w:t>
      </w:r>
      <w:r w:rsidRPr="00334FCF">
        <w:rPr>
          <w:rFonts w:ascii="Times New Roman" w:hAnsi="Times New Roman"/>
          <w:sz w:val="28"/>
          <w:szCs w:val="28"/>
        </w:rPr>
        <w:t>и</w:t>
      </w:r>
      <w:r w:rsidR="00C12038" w:rsidRPr="00334FCF">
        <w:rPr>
          <w:rFonts w:ascii="Times New Roman" w:hAnsi="Times New Roman"/>
          <w:sz w:val="28"/>
          <w:szCs w:val="28"/>
        </w:rPr>
        <w:t xml:space="preserve"> дорог;</w:t>
      </w:r>
    </w:p>
    <w:p w:rsidR="00611430" w:rsidRPr="00334FCF" w:rsidRDefault="00A10B72" w:rsidP="00611430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произведено строительство </w:t>
      </w:r>
      <w:r w:rsidR="00611430" w:rsidRPr="00334FCF">
        <w:rPr>
          <w:rFonts w:ascii="Times New Roman" w:hAnsi="Times New Roman"/>
          <w:sz w:val="28"/>
          <w:szCs w:val="28"/>
        </w:rPr>
        <w:t>9 км тротуаров;</w:t>
      </w:r>
    </w:p>
    <w:p w:rsidR="00611430" w:rsidRPr="00334FCF" w:rsidRDefault="00A10B72" w:rsidP="00611430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334FCF">
        <w:rPr>
          <w:rFonts w:ascii="Times New Roman" w:hAnsi="Times New Roman"/>
          <w:sz w:val="28"/>
          <w:szCs w:val="28"/>
        </w:rPr>
        <w:t xml:space="preserve">установлено </w:t>
      </w:r>
      <w:r w:rsidR="00611430" w:rsidRPr="00334FCF">
        <w:rPr>
          <w:rFonts w:ascii="Times New Roman" w:hAnsi="Times New Roman"/>
          <w:sz w:val="28"/>
          <w:szCs w:val="28"/>
        </w:rPr>
        <w:t>2,4 км пешеходно</w:t>
      </w:r>
      <w:r w:rsidRPr="00334FCF">
        <w:rPr>
          <w:rFonts w:ascii="Times New Roman" w:hAnsi="Times New Roman"/>
          <w:sz w:val="28"/>
          <w:szCs w:val="28"/>
        </w:rPr>
        <w:t>го</w:t>
      </w:r>
      <w:r w:rsidR="00611430" w:rsidRPr="00334FCF">
        <w:rPr>
          <w:rFonts w:ascii="Times New Roman" w:hAnsi="Times New Roman"/>
          <w:sz w:val="28"/>
          <w:szCs w:val="28"/>
        </w:rPr>
        <w:t xml:space="preserve"> ограждени</w:t>
      </w:r>
      <w:r w:rsidRPr="00334FCF">
        <w:rPr>
          <w:rFonts w:ascii="Times New Roman" w:hAnsi="Times New Roman"/>
          <w:sz w:val="28"/>
          <w:szCs w:val="28"/>
        </w:rPr>
        <w:t>я</w:t>
      </w:r>
      <w:r w:rsidR="00611430" w:rsidRPr="00334FCF">
        <w:rPr>
          <w:rFonts w:ascii="Times New Roman" w:hAnsi="Times New Roman"/>
          <w:sz w:val="28"/>
          <w:szCs w:val="28"/>
        </w:rPr>
        <w:t>;</w:t>
      </w:r>
    </w:p>
    <w:p w:rsidR="00C12038" w:rsidRPr="00334FCF" w:rsidRDefault="00611430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установлено 4</w:t>
      </w:r>
      <w:r w:rsidR="00C12038" w:rsidRPr="00334FCF">
        <w:rPr>
          <w:rFonts w:ascii="Times New Roman" w:hAnsi="Times New Roman"/>
          <w:sz w:val="28"/>
          <w:szCs w:val="28"/>
        </w:rPr>
        <w:t>0 шт. остановочных павильонов;</w:t>
      </w:r>
    </w:p>
    <w:p w:rsidR="00C12038" w:rsidRPr="00334FCF" w:rsidRDefault="00611430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2</w:t>
      </w:r>
      <w:r w:rsidR="00C12038" w:rsidRPr="00334FCF">
        <w:rPr>
          <w:rFonts w:ascii="Times New Roman" w:hAnsi="Times New Roman"/>
          <w:sz w:val="28"/>
          <w:szCs w:val="28"/>
        </w:rPr>
        <w:t xml:space="preserve"> перекрестка оборудованы светофорным регулированием;</w:t>
      </w:r>
    </w:p>
    <w:p w:rsidR="00C12038" w:rsidRPr="00334FCF" w:rsidRDefault="00611430" w:rsidP="00FC54B3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>на 3</w:t>
      </w:r>
      <w:r w:rsidR="00C12038" w:rsidRPr="00334FCF">
        <w:rPr>
          <w:rFonts w:ascii="Times New Roman" w:hAnsi="Times New Roman"/>
          <w:sz w:val="28"/>
          <w:szCs w:val="28"/>
        </w:rPr>
        <w:t xml:space="preserve"> перекрестка</w:t>
      </w:r>
      <w:r w:rsidRPr="00334FCF">
        <w:rPr>
          <w:rFonts w:ascii="Times New Roman" w:hAnsi="Times New Roman"/>
          <w:sz w:val="28"/>
          <w:szCs w:val="28"/>
        </w:rPr>
        <w:t>х</w:t>
      </w:r>
      <w:r w:rsidR="00C12038" w:rsidRPr="00334FCF">
        <w:rPr>
          <w:rFonts w:ascii="Times New Roman" w:hAnsi="Times New Roman"/>
          <w:sz w:val="28"/>
          <w:szCs w:val="28"/>
        </w:rPr>
        <w:t xml:space="preserve"> реконструировано светофорное регулирование; </w:t>
      </w:r>
    </w:p>
    <w:p w:rsidR="00C12038" w:rsidRPr="00334FCF" w:rsidRDefault="00611430" w:rsidP="00611430">
      <w:pPr>
        <w:pStyle w:val="aa"/>
        <w:widowControl w:val="0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34FCF">
        <w:rPr>
          <w:rFonts w:ascii="Times New Roman" w:hAnsi="Times New Roman"/>
          <w:sz w:val="28"/>
          <w:szCs w:val="28"/>
        </w:rPr>
        <w:t xml:space="preserve">3 </w:t>
      </w:r>
      <w:r w:rsidR="00C12038" w:rsidRPr="00334FCF">
        <w:rPr>
          <w:rFonts w:ascii="Times New Roman" w:hAnsi="Times New Roman"/>
          <w:sz w:val="28"/>
          <w:szCs w:val="28"/>
        </w:rPr>
        <w:t>пешеходных переход</w:t>
      </w:r>
      <w:r w:rsidRPr="00334FCF">
        <w:rPr>
          <w:rFonts w:ascii="Times New Roman" w:hAnsi="Times New Roman"/>
          <w:sz w:val="28"/>
          <w:szCs w:val="28"/>
        </w:rPr>
        <w:t xml:space="preserve">а </w:t>
      </w:r>
      <w:r w:rsidR="00C12038" w:rsidRPr="00334FCF">
        <w:rPr>
          <w:rFonts w:ascii="Times New Roman" w:hAnsi="Times New Roman"/>
          <w:sz w:val="28"/>
          <w:szCs w:val="28"/>
        </w:rPr>
        <w:t>оборудован</w:t>
      </w:r>
      <w:r w:rsidRPr="00334FCF">
        <w:rPr>
          <w:rFonts w:ascii="Times New Roman" w:hAnsi="Times New Roman"/>
          <w:sz w:val="28"/>
          <w:szCs w:val="28"/>
        </w:rPr>
        <w:t>ы</w:t>
      </w:r>
      <w:r w:rsidR="00C12038" w:rsidRPr="00334FCF">
        <w:rPr>
          <w:rFonts w:ascii="Times New Roman" w:hAnsi="Times New Roman"/>
          <w:sz w:val="28"/>
          <w:szCs w:val="28"/>
        </w:rPr>
        <w:t xml:space="preserve"> светофорами вызывного действия</w:t>
      </w:r>
      <w:r w:rsidRPr="00334FCF">
        <w:rPr>
          <w:rFonts w:ascii="Times New Roman" w:hAnsi="Times New Roman"/>
          <w:sz w:val="28"/>
          <w:szCs w:val="28"/>
        </w:rPr>
        <w:t>.</w:t>
      </w:r>
    </w:p>
    <w:p w:rsidR="00C12038" w:rsidRPr="00334FCF" w:rsidRDefault="00C12038" w:rsidP="00916201">
      <w:pPr>
        <w:pStyle w:val="a7"/>
        <w:widowControl w:val="0"/>
        <w:spacing w:after="0" w:line="276" w:lineRule="auto"/>
        <w:ind w:left="0" w:right="43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FCF">
        <w:rPr>
          <w:rFonts w:ascii="Times New Roman" w:hAnsi="Times New Roman" w:cs="Times New Roman"/>
          <w:b/>
          <w:bCs/>
          <w:sz w:val="28"/>
          <w:szCs w:val="28"/>
        </w:rPr>
        <w:t>ТРАНСПОРТ</w:t>
      </w:r>
    </w:p>
    <w:p w:rsidR="00C12038" w:rsidRPr="00334FCF" w:rsidRDefault="00C12038" w:rsidP="002A3F81">
      <w:pPr>
        <w:pStyle w:val="a7"/>
        <w:widowControl w:val="0"/>
        <w:spacing w:after="0" w:line="276" w:lineRule="auto"/>
        <w:ind w:left="0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Рынок транспортных услуг по перевозке пассажиров представлен предприятиями: 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Прокопьевским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 xml:space="preserve"> </w:t>
      </w:r>
      <w:r w:rsidR="00337304" w:rsidRPr="00334FCF">
        <w:rPr>
          <w:rFonts w:ascii="Times New Roman" w:hAnsi="Times New Roman" w:cs="Times New Roman"/>
          <w:sz w:val="28"/>
          <w:szCs w:val="28"/>
        </w:rPr>
        <w:t>ГПК «</w:t>
      </w:r>
      <w:proofErr w:type="spellStart"/>
      <w:r w:rsidR="00337304" w:rsidRPr="00334FCF">
        <w:rPr>
          <w:rFonts w:ascii="Times New Roman" w:hAnsi="Times New Roman" w:cs="Times New Roman"/>
          <w:sz w:val="28"/>
          <w:szCs w:val="28"/>
        </w:rPr>
        <w:t>ПассажирАвтоТранс</w:t>
      </w:r>
      <w:proofErr w:type="spellEnd"/>
      <w:r w:rsidR="00337304" w:rsidRPr="00334FCF">
        <w:rPr>
          <w:rFonts w:ascii="Times New Roman" w:hAnsi="Times New Roman" w:cs="Times New Roman"/>
          <w:sz w:val="28"/>
          <w:szCs w:val="28"/>
        </w:rPr>
        <w:t>» филиал г. Прокопьевск</w:t>
      </w:r>
      <w:r w:rsidRPr="00334FCF">
        <w:rPr>
          <w:rFonts w:ascii="Times New Roman" w:hAnsi="Times New Roman" w:cs="Times New Roman"/>
          <w:sz w:val="28"/>
          <w:szCs w:val="28"/>
        </w:rPr>
        <w:t>, ООО «Любимый город», ООО «</w:t>
      </w:r>
      <w:proofErr w:type="spellStart"/>
      <w:r w:rsidRPr="00334FCF">
        <w:rPr>
          <w:rFonts w:ascii="Times New Roman" w:hAnsi="Times New Roman" w:cs="Times New Roman"/>
          <w:sz w:val="28"/>
          <w:szCs w:val="28"/>
        </w:rPr>
        <w:t>Транссервис</w:t>
      </w:r>
      <w:proofErr w:type="spellEnd"/>
      <w:r w:rsidRPr="00334FCF">
        <w:rPr>
          <w:rFonts w:ascii="Times New Roman" w:hAnsi="Times New Roman" w:cs="Times New Roman"/>
          <w:sz w:val="28"/>
          <w:szCs w:val="28"/>
        </w:rPr>
        <w:t>», ООО «Кузбасс-Авто-Спас», МУП «Горэлектротранс» и индивидуальный предприниматель Мальцев А. П.</w:t>
      </w:r>
    </w:p>
    <w:p w:rsidR="00C12038" w:rsidRPr="00334FCF" w:rsidRDefault="00C12038" w:rsidP="00FC54B3">
      <w:pPr>
        <w:pStyle w:val="a7"/>
        <w:widowControl w:val="0"/>
        <w:spacing w:after="0" w:line="276" w:lineRule="auto"/>
        <w:ind w:left="0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Пассажирскими предприятиями обслуживаются: </w:t>
      </w:r>
    </w:p>
    <w:p w:rsidR="00C12038" w:rsidRPr="00334FCF" w:rsidRDefault="00C12038" w:rsidP="00FC54B3">
      <w:pPr>
        <w:pStyle w:val="a7"/>
        <w:widowControl w:val="0"/>
        <w:spacing w:after="0" w:line="276" w:lineRule="auto"/>
        <w:ind w:left="0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- 19 городских маршрутов, в том числе 2 маршрута сезонного характера (в категорию городских маршрутов входят и сезонные маршруты); </w:t>
      </w:r>
    </w:p>
    <w:p w:rsidR="00C12038" w:rsidRPr="00334FCF" w:rsidRDefault="00C12038" w:rsidP="00FC54B3">
      <w:pPr>
        <w:pStyle w:val="a7"/>
        <w:widowControl w:val="0"/>
        <w:spacing w:after="0" w:line="276" w:lineRule="auto"/>
        <w:ind w:left="0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- 22 пригородных маршрутов, в том числе один маршрут сезонного характера (в категорию пригородных, как и городских входят маршруты сезонного характера); </w:t>
      </w:r>
    </w:p>
    <w:p w:rsidR="00C12038" w:rsidRPr="00334FCF" w:rsidRDefault="00C12038" w:rsidP="00FC54B3">
      <w:pPr>
        <w:pStyle w:val="a7"/>
        <w:widowControl w:val="0"/>
        <w:spacing w:after="0" w:line="276" w:lineRule="auto"/>
        <w:ind w:left="0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- 2 междугородных маршрута;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- 4 трамвайных маршрута.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Протяженность маршрутной сети: 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- городских маршрутов – 282,4 км, в том числе сезонных – 13,5 км;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- пригородных маршрутов – 625,3 км, в том числе сезонных – 13 км;</w:t>
      </w:r>
    </w:p>
    <w:p w:rsidR="00C12038" w:rsidRPr="00334FCF" w:rsidRDefault="00C12038" w:rsidP="00FC54B3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- междугородных маршрутов - 277,6 км;</w:t>
      </w:r>
    </w:p>
    <w:p w:rsidR="006C1EE4" w:rsidRPr="00334FCF" w:rsidRDefault="00C12038" w:rsidP="002A3F81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- трамвайных маршрутов – 66,437 км.</w:t>
      </w:r>
    </w:p>
    <w:p w:rsidR="00C12038" w:rsidRPr="00334FCF" w:rsidRDefault="00C12038" w:rsidP="000F2C85">
      <w:pPr>
        <w:pStyle w:val="a7"/>
        <w:widowControl w:val="0"/>
        <w:spacing w:after="0" w:line="276" w:lineRule="auto"/>
        <w:ind w:left="0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Пассажирооборот за </w:t>
      </w:r>
      <w:r w:rsidR="00A4076D">
        <w:rPr>
          <w:rFonts w:ascii="Times New Roman" w:hAnsi="Times New Roman" w:cs="Times New Roman"/>
          <w:sz w:val="28"/>
          <w:szCs w:val="28"/>
        </w:rPr>
        <w:t>12</w:t>
      </w:r>
      <w:r w:rsidR="00337304" w:rsidRPr="00334FCF">
        <w:rPr>
          <w:rFonts w:ascii="Times New Roman" w:hAnsi="Times New Roman" w:cs="Times New Roman"/>
          <w:sz w:val="28"/>
          <w:szCs w:val="28"/>
        </w:rPr>
        <w:t xml:space="preserve"> месяцев 2024</w:t>
      </w:r>
      <w:r w:rsidRPr="00334FCF">
        <w:rPr>
          <w:rFonts w:ascii="Times New Roman" w:hAnsi="Times New Roman" w:cs="Times New Roman"/>
          <w:sz w:val="28"/>
          <w:szCs w:val="28"/>
        </w:rPr>
        <w:t xml:space="preserve"> год</w:t>
      </w:r>
      <w:r w:rsidR="00337304" w:rsidRPr="00334FCF">
        <w:rPr>
          <w:rFonts w:ascii="Times New Roman" w:hAnsi="Times New Roman" w:cs="Times New Roman"/>
          <w:sz w:val="28"/>
          <w:szCs w:val="28"/>
        </w:rPr>
        <w:t>а</w:t>
      </w:r>
      <w:r w:rsidRPr="00334FCF">
        <w:rPr>
          <w:rFonts w:ascii="Times New Roman" w:hAnsi="Times New Roman" w:cs="Times New Roman"/>
          <w:sz w:val="28"/>
          <w:szCs w:val="28"/>
        </w:rPr>
        <w:t xml:space="preserve"> сократился на 1</w:t>
      </w:r>
      <w:r w:rsidR="00337304" w:rsidRPr="00334FCF">
        <w:rPr>
          <w:rFonts w:ascii="Times New Roman" w:hAnsi="Times New Roman" w:cs="Times New Roman"/>
          <w:sz w:val="28"/>
          <w:szCs w:val="28"/>
        </w:rPr>
        <w:t>2</w:t>
      </w:r>
      <w:r w:rsidRPr="00334FCF">
        <w:rPr>
          <w:rFonts w:ascii="Times New Roman" w:hAnsi="Times New Roman" w:cs="Times New Roman"/>
          <w:sz w:val="28"/>
          <w:szCs w:val="28"/>
        </w:rPr>
        <w:t xml:space="preserve"> % и составил 1</w:t>
      </w:r>
      <w:r w:rsidR="00337304" w:rsidRPr="00334FCF">
        <w:rPr>
          <w:rFonts w:ascii="Times New Roman" w:hAnsi="Times New Roman" w:cs="Times New Roman"/>
          <w:sz w:val="28"/>
          <w:szCs w:val="28"/>
        </w:rPr>
        <w:t>405</w:t>
      </w:r>
      <w:r w:rsidRPr="00334FCF">
        <w:rPr>
          <w:rFonts w:ascii="Times New Roman" w:hAnsi="Times New Roman" w:cs="Times New Roman"/>
          <w:sz w:val="28"/>
          <w:szCs w:val="28"/>
        </w:rPr>
        <w:t xml:space="preserve"> тыс.</w:t>
      </w:r>
      <w:r w:rsidR="00087E2F" w:rsidRPr="00334FCF">
        <w:rPr>
          <w:rFonts w:ascii="Times New Roman" w:hAnsi="Times New Roman" w:cs="Times New Roman"/>
          <w:sz w:val="28"/>
          <w:szCs w:val="28"/>
        </w:rPr>
        <w:t xml:space="preserve"> </w:t>
      </w:r>
      <w:r w:rsidRPr="00334FCF">
        <w:rPr>
          <w:rFonts w:ascii="Times New Roman" w:hAnsi="Times New Roman" w:cs="Times New Roman"/>
          <w:sz w:val="28"/>
          <w:szCs w:val="28"/>
        </w:rPr>
        <w:t>пасс-км (за 202</w:t>
      </w:r>
      <w:r w:rsidR="00337304" w:rsidRPr="00334FCF">
        <w:rPr>
          <w:rFonts w:ascii="Times New Roman" w:hAnsi="Times New Roman" w:cs="Times New Roman"/>
          <w:sz w:val="28"/>
          <w:szCs w:val="28"/>
        </w:rPr>
        <w:t>3</w:t>
      </w:r>
      <w:r w:rsidRPr="00334FCF">
        <w:rPr>
          <w:rFonts w:ascii="Times New Roman" w:hAnsi="Times New Roman" w:cs="Times New Roman"/>
          <w:sz w:val="28"/>
          <w:szCs w:val="28"/>
        </w:rPr>
        <w:t xml:space="preserve"> – 1</w:t>
      </w:r>
      <w:r w:rsidR="00337304" w:rsidRPr="00334FCF">
        <w:rPr>
          <w:rFonts w:ascii="Times New Roman" w:hAnsi="Times New Roman" w:cs="Times New Roman"/>
          <w:sz w:val="28"/>
          <w:szCs w:val="28"/>
        </w:rPr>
        <w:t>596</w:t>
      </w:r>
      <w:r w:rsidRPr="00334FCF">
        <w:rPr>
          <w:rFonts w:ascii="Times New Roman" w:hAnsi="Times New Roman" w:cs="Times New Roman"/>
          <w:sz w:val="28"/>
          <w:szCs w:val="28"/>
        </w:rPr>
        <w:t xml:space="preserve"> тыс.</w:t>
      </w:r>
      <w:r w:rsidR="00087E2F" w:rsidRPr="00334FCF">
        <w:rPr>
          <w:rFonts w:ascii="Times New Roman" w:hAnsi="Times New Roman" w:cs="Times New Roman"/>
          <w:sz w:val="28"/>
          <w:szCs w:val="28"/>
        </w:rPr>
        <w:t xml:space="preserve"> </w:t>
      </w:r>
      <w:r w:rsidRPr="00334FCF">
        <w:rPr>
          <w:rFonts w:ascii="Times New Roman" w:hAnsi="Times New Roman" w:cs="Times New Roman"/>
          <w:sz w:val="28"/>
          <w:szCs w:val="28"/>
        </w:rPr>
        <w:t xml:space="preserve">пасс-км). </w:t>
      </w:r>
    </w:p>
    <w:p w:rsidR="00C12038" w:rsidRPr="00334FCF" w:rsidRDefault="00C12038" w:rsidP="000F2C85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Потребность в водительском составе в пассажирских предприятиях </w:t>
      </w:r>
      <w:r w:rsidR="00337304" w:rsidRPr="00334FCF">
        <w:rPr>
          <w:rFonts w:ascii="Times New Roman" w:hAnsi="Times New Roman" w:cs="Times New Roman"/>
          <w:sz w:val="28"/>
          <w:szCs w:val="28"/>
        </w:rPr>
        <w:t xml:space="preserve">снизилась по отношению к 2023 году, но </w:t>
      </w:r>
      <w:r w:rsidR="00340A2E" w:rsidRPr="00334FCF">
        <w:rPr>
          <w:rFonts w:ascii="Times New Roman" w:hAnsi="Times New Roman" w:cs="Times New Roman"/>
          <w:sz w:val="28"/>
          <w:szCs w:val="28"/>
        </w:rPr>
        <w:t>по-прежнему</w:t>
      </w:r>
      <w:r w:rsidR="00337304" w:rsidRPr="00334FCF">
        <w:rPr>
          <w:rFonts w:ascii="Times New Roman" w:hAnsi="Times New Roman" w:cs="Times New Roman"/>
          <w:sz w:val="28"/>
          <w:szCs w:val="28"/>
        </w:rPr>
        <w:t xml:space="preserve"> остается на высоком</w:t>
      </w:r>
      <w:r w:rsidRPr="00334FCF">
        <w:rPr>
          <w:rFonts w:ascii="Times New Roman" w:hAnsi="Times New Roman" w:cs="Times New Roman"/>
          <w:sz w:val="28"/>
          <w:szCs w:val="28"/>
        </w:rPr>
        <w:t xml:space="preserve"> уровне и состав</w:t>
      </w:r>
      <w:r w:rsidR="00337304" w:rsidRPr="00334FCF">
        <w:rPr>
          <w:rFonts w:ascii="Times New Roman" w:hAnsi="Times New Roman" w:cs="Times New Roman"/>
          <w:sz w:val="28"/>
          <w:szCs w:val="28"/>
        </w:rPr>
        <w:t xml:space="preserve">ляет в 2024 </w:t>
      </w:r>
      <w:r w:rsidR="00340A2E" w:rsidRPr="00334FCF">
        <w:rPr>
          <w:rFonts w:ascii="Times New Roman" w:hAnsi="Times New Roman" w:cs="Times New Roman"/>
          <w:sz w:val="28"/>
          <w:szCs w:val="28"/>
        </w:rPr>
        <w:t>году -</w:t>
      </w:r>
      <w:r w:rsidRPr="00334FCF">
        <w:rPr>
          <w:rFonts w:ascii="Times New Roman" w:hAnsi="Times New Roman" w:cs="Times New Roman"/>
          <w:sz w:val="28"/>
          <w:szCs w:val="28"/>
        </w:rPr>
        <w:t xml:space="preserve">152 человек. </w:t>
      </w:r>
    </w:p>
    <w:p w:rsidR="00C12038" w:rsidRPr="00334FCF" w:rsidRDefault="00C12038" w:rsidP="000F2C85">
      <w:pPr>
        <w:widowControl w:val="0"/>
        <w:spacing w:after="0" w:line="27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Среднесуточный выход автобусов на линию за </w:t>
      </w:r>
      <w:r w:rsidR="00A4076D">
        <w:rPr>
          <w:rFonts w:ascii="Times New Roman" w:hAnsi="Times New Roman" w:cs="Times New Roman"/>
          <w:sz w:val="28"/>
          <w:szCs w:val="28"/>
        </w:rPr>
        <w:t>12</w:t>
      </w:r>
      <w:r w:rsidRPr="00334FCF">
        <w:rPr>
          <w:rFonts w:ascii="Times New Roman" w:hAnsi="Times New Roman" w:cs="Times New Roman"/>
          <w:sz w:val="28"/>
          <w:szCs w:val="28"/>
        </w:rPr>
        <w:t xml:space="preserve"> мес</w:t>
      </w:r>
      <w:r w:rsidR="00E03F64" w:rsidRPr="00334FCF">
        <w:rPr>
          <w:rFonts w:ascii="Times New Roman" w:hAnsi="Times New Roman" w:cs="Times New Roman"/>
          <w:sz w:val="28"/>
          <w:szCs w:val="28"/>
        </w:rPr>
        <w:t>яцев</w:t>
      </w:r>
      <w:r w:rsidRPr="00334FCF">
        <w:rPr>
          <w:rFonts w:ascii="Times New Roman" w:hAnsi="Times New Roman" w:cs="Times New Roman"/>
          <w:sz w:val="28"/>
          <w:szCs w:val="28"/>
        </w:rPr>
        <w:t xml:space="preserve"> 202</w:t>
      </w:r>
      <w:r w:rsidR="00E03F64" w:rsidRPr="00334FCF">
        <w:rPr>
          <w:rFonts w:ascii="Times New Roman" w:hAnsi="Times New Roman" w:cs="Times New Roman"/>
          <w:sz w:val="28"/>
          <w:szCs w:val="28"/>
        </w:rPr>
        <w:t>4</w:t>
      </w:r>
      <w:r w:rsidRPr="00334FCF">
        <w:rPr>
          <w:rFonts w:ascii="Times New Roman" w:hAnsi="Times New Roman" w:cs="Times New Roman"/>
          <w:sz w:val="28"/>
          <w:szCs w:val="28"/>
        </w:rPr>
        <w:t xml:space="preserve"> года сократился на </w:t>
      </w:r>
      <w:r w:rsidR="00E03F64" w:rsidRPr="00334FCF">
        <w:rPr>
          <w:rFonts w:ascii="Times New Roman" w:hAnsi="Times New Roman" w:cs="Times New Roman"/>
          <w:sz w:val="28"/>
          <w:szCs w:val="28"/>
        </w:rPr>
        <w:t>5</w:t>
      </w:r>
      <w:r w:rsidRPr="00334FCF">
        <w:rPr>
          <w:rFonts w:ascii="Times New Roman" w:hAnsi="Times New Roman" w:cs="Times New Roman"/>
          <w:sz w:val="28"/>
          <w:szCs w:val="28"/>
        </w:rPr>
        <w:t xml:space="preserve"> автобусов и составил 11</w:t>
      </w:r>
      <w:r w:rsidR="00E03F64" w:rsidRPr="00334FCF">
        <w:rPr>
          <w:rFonts w:ascii="Times New Roman" w:hAnsi="Times New Roman" w:cs="Times New Roman"/>
          <w:sz w:val="28"/>
          <w:szCs w:val="28"/>
        </w:rPr>
        <w:t>3</w:t>
      </w:r>
      <w:r w:rsidRPr="00334FCF">
        <w:rPr>
          <w:rFonts w:ascii="Times New Roman" w:hAnsi="Times New Roman" w:cs="Times New Roman"/>
          <w:sz w:val="28"/>
          <w:szCs w:val="28"/>
        </w:rPr>
        <w:t xml:space="preserve"> единиц, при этом также сократился среднесуточный выпуск трамваев и составил 19 ед</w:t>
      </w:r>
      <w:r w:rsidR="00E03F64" w:rsidRPr="00334FCF">
        <w:rPr>
          <w:rFonts w:ascii="Times New Roman" w:hAnsi="Times New Roman" w:cs="Times New Roman"/>
          <w:sz w:val="28"/>
          <w:szCs w:val="28"/>
        </w:rPr>
        <w:t>иниц (2023 г. – 21 единица).</w:t>
      </w:r>
    </w:p>
    <w:p w:rsidR="00C12038" w:rsidRPr="00334FCF" w:rsidRDefault="00C12038" w:rsidP="000F2C85">
      <w:pPr>
        <w:pStyle w:val="a7"/>
        <w:widowControl w:val="0"/>
        <w:spacing w:after="0" w:line="276" w:lineRule="auto"/>
        <w:ind w:left="0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Среднемесячная заработная плата работников пассажирских предприятий в 202</w:t>
      </w:r>
      <w:r w:rsidR="00E03F64" w:rsidRPr="00334FCF">
        <w:rPr>
          <w:rFonts w:ascii="Times New Roman" w:hAnsi="Times New Roman" w:cs="Times New Roman"/>
          <w:sz w:val="28"/>
          <w:szCs w:val="28"/>
        </w:rPr>
        <w:t>4</w:t>
      </w:r>
      <w:r w:rsidRPr="00334FCF">
        <w:rPr>
          <w:rFonts w:ascii="Times New Roman" w:hAnsi="Times New Roman" w:cs="Times New Roman"/>
          <w:sz w:val="28"/>
          <w:szCs w:val="28"/>
        </w:rPr>
        <w:t xml:space="preserve"> году составила 3</w:t>
      </w:r>
      <w:r w:rsidR="00E03F64" w:rsidRPr="00334FCF">
        <w:rPr>
          <w:rFonts w:ascii="Times New Roman" w:hAnsi="Times New Roman" w:cs="Times New Roman"/>
          <w:sz w:val="28"/>
          <w:szCs w:val="28"/>
        </w:rPr>
        <w:t>9064</w:t>
      </w:r>
      <w:r w:rsidRPr="00334FCF">
        <w:rPr>
          <w:rFonts w:ascii="Times New Roman" w:hAnsi="Times New Roman" w:cs="Times New Roman"/>
          <w:sz w:val="28"/>
          <w:szCs w:val="28"/>
        </w:rPr>
        <w:t xml:space="preserve"> руб., что на 1</w:t>
      </w:r>
      <w:r w:rsidR="00E03F64" w:rsidRPr="00334FCF">
        <w:rPr>
          <w:rFonts w:ascii="Times New Roman" w:hAnsi="Times New Roman" w:cs="Times New Roman"/>
          <w:sz w:val="28"/>
          <w:szCs w:val="28"/>
        </w:rPr>
        <w:t>0</w:t>
      </w:r>
      <w:r w:rsidRPr="00334FCF">
        <w:rPr>
          <w:rFonts w:ascii="Times New Roman" w:hAnsi="Times New Roman" w:cs="Times New Roman"/>
          <w:sz w:val="28"/>
          <w:szCs w:val="28"/>
        </w:rPr>
        <w:t xml:space="preserve"> % выше по сравнению с 202</w:t>
      </w:r>
      <w:r w:rsidR="00E03F64" w:rsidRPr="00334FCF">
        <w:rPr>
          <w:rFonts w:ascii="Times New Roman" w:hAnsi="Times New Roman" w:cs="Times New Roman"/>
          <w:sz w:val="28"/>
          <w:szCs w:val="28"/>
        </w:rPr>
        <w:t>3</w:t>
      </w:r>
      <w:r w:rsidRPr="00334FCF">
        <w:rPr>
          <w:rFonts w:ascii="Times New Roman" w:hAnsi="Times New Roman" w:cs="Times New Roman"/>
          <w:sz w:val="28"/>
          <w:szCs w:val="28"/>
        </w:rPr>
        <w:t xml:space="preserve"> годом (3</w:t>
      </w:r>
      <w:r w:rsidR="00E03F64" w:rsidRPr="00334FCF">
        <w:rPr>
          <w:rFonts w:ascii="Times New Roman" w:hAnsi="Times New Roman" w:cs="Times New Roman"/>
          <w:sz w:val="28"/>
          <w:szCs w:val="28"/>
        </w:rPr>
        <w:t>5432</w:t>
      </w:r>
      <w:r w:rsidR="00DB1E37" w:rsidRPr="00334FCF">
        <w:rPr>
          <w:rFonts w:ascii="Times New Roman" w:hAnsi="Times New Roman" w:cs="Times New Roman"/>
          <w:sz w:val="28"/>
          <w:szCs w:val="28"/>
        </w:rPr>
        <w:t xml:space="preserve"> </w:t>
      </w:r>
      <w:r w:rsidRPr="00334FCF">
        <w:rPr>
          <w:rFonts w:ascii="Times New Roman" w:hAnsi="Times New Roman" w:cs="Times New Roman"/>
          <w:sz w:val="28"/>
          <w:szCs w:val="28"/>
        </w:rPr>
        <w:t>руб</w:t>
      </w:r>
      <w:r w:rsidR="00DB1E37" w:rsidRPr="00334FCF">
        <w:rPr>
          <w:rFonts w:ascii="Times New Roman" w:hAnsi="Times New Roman" w:cs="Times New Roman"/>
          <w:sz w:val="28"/>
          <w:szCs w:val="28"/>
        </w:rPr>
        <w:t>.</w:t>
      </w:r>
      <w:r w:rsidRPr="00334FCF">
        <w:rPr>
          <w:rFonts w:ascii="Times New Roman" w:hAnsi="Times New Roman" w:cs="Times New Roman"/>
          <w:sz w:val="28"/>
          <w:szCs w:val="28"/>
        </w:rPr>
        <w:t xml:space="preserve">). Среднемесячная заработная плата водительского состава увеличилась на </w:t>
      </w:r>
      <w:r w:rsidR="00E03F64" w:rsidRPr="00334FCF">
        <w:rPr>
          <w:rFonts w:ascii="Times New Roman" w:hAnsi="Times New Roman" w:cs="Times New Roman"/>
          <w:sz w:val="28"/>
          <w:szCs w:val="28"/>
        </w:rPr>
        <w:t>13</w:t>
      </w:r>
      <w:r w:rsidRPr="00334FCF">
        <w:rPr>
          <w:rFonts w:ascii="Times New Roman" w:hAnsi="Times New Roman" w:cs="Times New Roman"/>
          <w:sz w:val="28"/>
          <w:szCs w:val="28"/>
        </w:rPr>
        <w:t>% по сравнению с 202</w:t>
      </w:r>
      <w:r w:rsidR="00E03F64" w:rsidRPr="00334FCF">
        <w:rPr>
          <w:rFonts w:ascii="Times New Roman" w:hAnsi="Times New Roman" w:cs="Times New Roman"/>
          <w:sz w:val="28"/>
          <w:szCs w:val="28"/>
        </w:rPr>
        <w:t>3</w:t>
      </w:r>
      <w:r w:rsidRPr="00334FCF">
        <w:rPr>
          <w:rFonts w:ascii="Times New Roman" w:hAnsi="Times New Roman" w:cs="Times New Roman"/>
          <w:sz w:val="28"/>
          <w:szCs w:val="28"/>
        </w:rPr>
        <w:t xml:space="preserve"> годом и составила </w:t>
      </w:r>
      <w:r w:rsidR="00E03F64" w:rsidRPr="00334FCF">
        <w:rPr>
          <w:rFonts w:ascii="Times New Roman" w:hAnsi="Times New Roman" w:cs="Times New Roman"/>
          <w:sz w:val="28"/>
          <w:szCs w:val="28"/>
        </w:rPr>
        <w:t>51934</w:t>
      </w:r>
      <w:r w:rsidRPr="00334FCF">
        <w:rPr>
          <w:rFonts w:ascii="Times New Roman" w:hAnsi="Times New Roman" w:cs="Times New Roman"/>
          <w:sz w:val="28"/>
          <w:szCs w:val="28"/>
        </w:rPr>
        <w:t xml:space="preserve"> руб. (202</w:t>
      </w:r>
      <w:r w:rsidR="00E03F64" w:rsidRPr="00334FCF">
        <w:rPr>
          <w:rFonts w:ascii="Times New Roman" w:hAnsi="Times New Roman" w:cs="Times New Roman"/>
          <w:sz w:val="28"/>
          <w:szCs w:val="28"/>
        </w:rPr>
        <w:t>3</w:t>
      </w:r>
      <w:r w:rsidRPr="00334FCF">
        <w:rPr>
          <w:rFonts w:ascii="Times New Roman" w:hAnsi="Times New Roman" w:cs="Times New Roman"/>
          <w:sz w:val="28"/>
          <w:szCs w:val="28"/>
        </w:rPr>
        <w:t xml:space="preserve">г. – </w:t>
      </w:r>
      <w:r w:rsidR="00E03F64" w:rsidRPr="00334FCF">
        <w:rPr>
          <w:rFonts w:ascii="Times New Roman" w:hAnsi="Times New Roman" w:cs="Times New Roman"/>
          <w:sz w:val="28"/>
          <w:szCs w:val="28"/>
        </w:rPr>
        <w:t>45960</w:t>
      </w:r>
      <w:r w:rsidRPr="00334FCF">
        <w:rPr>
          <w:rFonts w:ascii="Times New Roman" w:hAnsi="Times New Roman" w:cs="Times New Roman"/>
          <w:sz w:val="28"/>
          <w:szCs w:val="28"/>
        </w:rPr>
        <w:t xml:space="preserve"> руб.). </w:t>
      </w:r>
    </w:p>
    <w:p w:rsidR="00C12038" w:rsidRPr="00334FCF" w:rsidRDefault="00C12038" w:rsidP="002A3F81">
      <w:pPr>
        <w:pStyle w:val="a7"/>
        <w:widowControl w:val="0"/>
        <w:spacing w:after="0" w:line="276" w:lineRule="auto"/>
        <w:ind w:left="0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 xml:space="preserve">Общая численность трудящихся </w:t>
      </w:r>
      <w:r w:rsidR="00DB1E37" w:rsidRPr="00334FCF">
        <w:rPr>
          <w:rFonts w:ascii="Times New Roman" w:hAnsi="Times New Roman" w:cs="Times New Roman"/>
          <w:sz w:val="28"/>
          <w:szCs w:val="28"/>
        </w:rPr>
        <w:t xml:space="preserve">на </w:t>
      </w:r>
      <w:r w:rsidRPr="00334FCF">
        <w:rPr>
          <w:rFonts w:ascii="Times New Roman" w:hAnsi="Times New Roman" w:cs="Times New Roman"/>
          <w:sz w:val="28"/>
          <w:szCs w:val="28"/>
        </w:rPr>
        <w:t>автотранспортных предприят</w:t>
      </w:r>
      <w:r w:rsidR="00DB1E37" w:rsidRPr="00334FCF">
        <w:rPr>
          <w:rFonts w:ascii="Times New Roman" w:hAnsi="Times New Roman" w:cs="Times New Roman"/>
          <w:sz w:val="28"/>
          <w:szCs w:val="28"/>
        </w:rPr>
        <w:t>иях</w:t>
      </w:r>
      <w:r w:rsidRPr="00334FCF">
        <w:rPr>
          <w:rFonts w:ascii="Times New Roman" w:hAnsi="Times New Roman" w:cs="Times New Roman"/>
          <w:sz w:val="28"/>
          <w:szCs w:val="28"/>
        </w:rPr>
        <w:t xml:space="preserve"> и </w:t>
      </w:r>
      <w:r w:rsidR="00DB1E37" w:rsidRPr="00334FCF">
        <w:rPr>
          <w:rFonts w:ascii="Times New Roman" w:hAnsi="Times New Roman" w:cs="Times New Roman"/>
          <w:sz w:val="28"/>
          <w:szCs w:val="28"/>
        </w:rPr>
        <w:t>МУП</w:t>
      </w:r>
      <w:r w:rsidRPr="00334FCF">
        <w:rPr>
          <w:rFonts w:ascii="Times New Roman" w:hAnsi="Times New Roman" w:cs="Times New Roman"/>
          <w:sz w:val="28"/>
          <w:szCs w:val="28"/>
        </w:rPr>
        <w:t xml:space="preserve"> </w:t>
      </w:r>
      <w:r w:rsidR="00DB1E37" w:rsidRPr="00334FCF">
        <w:rPr>
          <w:rFonts w:ascii="Times New Roman" w:hAnsi="Times New Roman" w:cs="Times New Roman"/>
          <w:sz w:val="28"/>
          <w:szCs w:val="28"/>
        </w:rPr>
        <w:t>«Г</w:t>
      </w:r>
      <w:r w:rsidRPr="00334FCF">
        <w:rPr>
          <w:rFonts w:ascii="Times New Roman" w:hAnsi="Times New Roman" w:cs="Times New Roman"/>
          <w:sz w:val="28"/>
          <w:szCs w:val="28"/>
        </w:rPr>
        <w:t>орэлектротранс</w:t>
      </w:r>
      <w:r w:rsidR="00DB1E37" w:rsidRPr="00334FCF">
        <w:rPr>
          <w:rFonts w:ascii="Times New Roman" w:hAnsi="Times New Roman" w:cs="Times New Roman"/>
          <w:sz w:val="28"/>
          <w:szCs w:val="28"/>
        </w:rPr>
        <w:t>»</w:t>
      </w:r>
      <w:r w:rsidRPr="00334FCF">
        <w:rPr>
          <w:rFonts w:ascii="Times New Roman" w:hAnsi="Times New Roman" w:cs="Times New Roman"/>
          <w:sz w:val="28"/>
          <w:szCs w:val="28"/>
        </w:rPr>
        <w:t xml:space="preserve"> в 202</w:t>
      </w:r>
      <w:r w:rsidR="00E03F64" w:rsidRPr="00334FCF">
        <w:rPr>
          <w:rFonts w:ascii="Times New Roman" w:hAnsi="Times New Roman" w:cs="Times New Roman"/>
          <w:sz w:val="28"/>
          <w:szCs w:val="28"/>
        </w:rPr>
        <w:t>4</w:t>
      </w:r>
      <w:r w:rsidRPr="00334FC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B1E37" w:rsidRPr="00334FCF">
        <w:rPr>
          <w:rFonts w:ascii="Times New Roman" w:hAnsi="Times New Roman" w:cs="Times New Roman"/>
          <w:sz w:val="28"/>
          <w:szCs w:val="28"/>
        </w:rPr>
        <w:t>снизилась и на</w:t>
      </w:r>
      <w:r w:rsidR="00340A2E" w:rsidRPr="00334FCF">
        <w:rPr>
          <w:rFonts w:ascii="Times New Roman" w:hAnsi="Times New Roman" w:cs="Times New Roman"/>
          <w:sz w:val="28"/>
          <w:szCs w:val="28"/>
        </w:rPr>
        <w:t xml:space="preserve"> 01.0</w:t>
      </w:r>
      <w:r w:rsidR="00DB1E37" w:rsidRPr="00334FCF">
        <w:rPr>
          <w:rFonts w:ascii="Times New Roman" w:hAnsi="Times New Roman" w:cs="Times New Roman"/>
          <w:sz w:val="28"/>
          <w:szCs w:val="28"/>
        </w:rPr>
        <w:t>1</w:t>
      </w:r>
      <w:r w:rsidR="00340A2E" w:rsidRPr="00334FCF">
        <w:rPr>
          <w:rFonts w:ascii="Times New Roman" w:hAnsi="Times New Roman" w:cs="Times New Roman"/>
          <w:sz w:val="28"/>
          <w:szCs w:val="28"/>
        </w:rPr>
        <w:t>.202</w:t>
      </w:r>
      <w:r w:rsidR="00DB1E37" w:rsidRPr="00334FCF">
        <w:rPr>
          <w:rFonts w:ascii="Times New Roman" w:hAnsi="Times New Roman" w:cs="Times New Roman"/>
          <w:sz w:val="28"/>
          <w:szCs w:val="28"/>
        </w:rPr>
        <w:t>5</w:t>
      </w:r>
      <w:r w:rsidR="00340A2E" w:rsidRPr="00334FCF">
        <w:rPr>
          <w:rFonts w:ascii="Times New Roman" w:hAnsi="Times New Roman" w:cs="Times New Roman"/>
          <w:sz w:val="28"/>
          <w:szCs w:val="28"/>
        </w:rPr>
        <w:t xml:space="preserve"> г. состав</w:t>
      </w:r>
      <w:r w:rsidR="00DB1E37" w:rsidRPr="00334FCF">
        <w:rPr>
          <w:rFonts w:ascii="Times New Roman" w:hAnsi="Times New Roman" w:cs="Times New Roman"/>
          <w:sz w:val="28"/>
          <w:szCs w:val="28"/>
        </w:rPr>
        <w:t>ила</w:t>
      </w:r>
      <w:r w:rsidR="00340A2E" w:rsidRPr="00334FCF">
        <w:rPr>
          <w:rFonts w:ascii="Times New Roman" w:hAnsi="Times New Roman" w:cs="Times New Roman"/>
          <w:sz w:val="28"/>
          <w:szCs w:val="28"/>
        </w:rPr>
        <w:t xml:space="preserve"> 742 человека. (в 2023 г. – 832 человека).</w:t>
      </w:r>
    </w:p>
    <w:p w:rsidR="00DB1E37" w:rsidRPr="00334FCF" w:rsidRDefault="00EF1916" w:rsidP="00DB1E37">
      <w:pPr>
        <w:pStyle w:val="a7"/>
        <w:widowControl w:val="0"/>
        <w:spacing w:after="0" w:line="276" w:lineRule="auto"/>
        <w:ind w:left="0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В начале 2024 года по программе предоставления специального казначейского кредита «Пассажиравтотранс» филиал г. Прокопьевска получил 12 автобусов</w:t>
      </w:r>
      <w:r w:rsidR="00DB1E37" w:rsidRPr="00334FCF">
        <w:rPr>
          <w:rFonts w:ascii="Times New Roman" w:hAnsi="Times New Roman" w:cs="Times New Roman"/>
          <w:sz w:val="28"/>
          <w:szCs w:val="28"/>
        </w:rPr>
        <w:t>. В соответствии с</w:t>
      </w:r>
      <w:r w:rsidR="006F18C3" w:rsidRPr="00334FCF">
        <w:rPr>
          <w:rFonts w:ascii="Times New Roman" w:hAnsi="Times New Roman" w:cs="Times New Roman"/>
          <w:sz w:val="28"/>
          <w:szCs w:val="28"/>
        </w:rPr>
        <w:t xml:space="preserve"> п</w:t>
      </w:r>
      <w:r w:rsidRPr="00334FCF">
        <w:rPr>
          <w:rFonts w:ascii="Times New Roman" w:hAnsi="Times New Roman" w:cs="Times New Roman"/>
          <w:sz w:val="28"/>
          <w:szCs w:val="28"/>
        </w:rPr>
        <w:t>оручени</w:t>
      </w:r>
      <w:r w:rsidR="006F18C3" w:rsidRPr="00334FCF">
        <w:rPr>
          <w:rFonts w:ascii="Times New Roman" w:hAnsi="Times New Roman" w:cs="Times New Roman"/>
          <w:sz w:val="28"/>
          <w:szCs w:val="28"/>
        </w:rPr>
        <w:t>ем</w:t>
      </w:r>
      <w:r w:rsidRPr="00334FCF">
        <w:rPr>
          <w:rFonts w:ascii="Times New Roman" w:hAnsi="Times New Roman" w:cs="Times New Roman"/>
          <w:sz w:val="28"/>
          <w:szCs w:val="28"/>
        </w:rPr>
        <w:t xml:space="preserve"> Президента РФ от 17.08.2023. разработана «Долгосрочная программа обновления подвижного состава общественного транспорта в Кузбассе», согласно которой проводится совместная работа с Министерством транспорта Кузбасса о возможности внедрения новых целевых программ, связанных с обновлением транспортной инфраструктуры и подвижного состава.</w:t>
      </w:r>
    </w:p>
    <w:p w:rsidR="00C12038" w:rsidRPr="00334FCF" w:rsidRDefault="00C12038" w:rsidP="002A3F81">
      <w:pPr>
        <w:pStyle w:val="a7"/>
        <w:widowControl w:val="0"/>
        <w:spacing w:after="0" w:line="240" w:lineRule="auto"/>
        <w:ind w:left="0"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4FCF">
        <w:rPr>
          <w:rFonts w:ascii="Times New Roman" w:hAnsi="Times New Roman" w:cs="Times New Roman"/>
          <w:sz w:val="28"/>
          <w:szCs w:val="28"/>
        </w:rPr>
        <w:t>За 202</w:t>
      </w:r>
      <w:r w:rsidR="00EF1916" w:rsidRPr="00334FCF">
        <w:rPr>
          <w:rFonts w:ascii="Times New Roman" w:hAnsi="Times New Roman" w:cs="Times New Roman"/>
          <w:sz w:val="28"/>
          <w:szCs w:val="28"/>
        </w:rPr>
        <w:t>4</w:t>
      </w:r>
      <w:r w:rsidRPr="00334FCF">
        <w:rPr>
          <w:rFonts w:ascii="Times New Roman" w:hAnsi="Times New Roman" w:cs="Times New Roman"/>
          <w:sz w:val="28"/>
          <w:szCs w:val="28"/>
        </w:rPr>
        <w:t xml:space="preserve"> год себестоимость одной поездки пассажира в трамвае составила 91,9 руб., в социальном автобусе – от </w:t>
      </w:r>
      <w:r w:rsidR="00EF1916" w:rsidRPr="00334FCF">
        <w:rPr>
          <w:rFonts w:ascii="Times New Roman" w:hAnsi="Times New Roman" w:cs="Times New Roman"/>
          <w:sz w:val="28"/>
          <w:szCs w:val="28"/>
        </w:rPr>
        <w:t>64</w:t>
      </w:r>
      <w:r w:rsidRPr="00334FCF">
        <w:rPr>
          <w:rFonts w:ascii="Times New Roman" w:hAnsi="Times New Roman" w:cs="Times New Roman"/>
          <w:sz w:val="28"/>
          <w:szCs w:val="28"/>
        </w:rPr>
        <w:t xml:space="preserve"> до 1</w:t>
      </w:r>
      <w:r w:rsidR="00EF1916" w:rsidRPr="00334FCF">
        <w:rPr>
          <w:rFonts w:ascii="Times New Roman" w:hAnsi="Times New Roman" w:cs="Times New Roman"/>
          <w:sz w:val="28"/>
          <w:szCs w:val="28"/>
        </w:rPr>
        <w:t>20</w:t>
      </w:r>
      <w:r w:rsidRPr="00334FCF">
        <w:rPr>
          <w:rFonts w:ascii="Times New Roman" w:hAnsi="Times New Roman" w:cs="Times New Roman"/>
          <w:sz w:val="28"/>
          <w:szCs w:val="28"/>
        </w:rPr>
        <w:t xml:space="preserve"> руб. и автобусах, работающих на регулярных маршрутах по нерегулируемым тарифам от </w:t>
      </w:r>
      <w:r w:rsidR="00EF1916" w:rsidRPr="00334FCF">
        <w:rPr>
          <w:rFonts w:ascii="Times New Roman" w:hAnsi="Times New Roman" w:cs="Times New Roman"/>
          <w:sz w:val="28"/>
          <w:szCs w:val="28"/>
        </w:rPr>
        <w:t>90</w:t>
      </w:r>
      <w:r w:rsidRPr="00334FCF">
        <w:rPr>
          <w:rFonts w:ascii="Times New Roman" w:hAnsi="Times New Roman" w:cs="Times New Roman"/>
          <w:sz w:val="28"/>
          <w:szCs w:val="28"/>
        </w:rPr>
        <w:t xml:space="preserve"> до 1</w:t>
      </w:r>
      <w:r w:rsidR="00EF1916" w:rsidRPr="00334FCF">
        <w:rPr>
          <w:rFonts w:ascii="Times New Roman" w:hAnsi="Times New Roman" w:cs="Times New Roman"/>
          <w:sz w:val="28"/>
          <w:szCs w:val="28"/>
        </w:rPr>
        <w:t>35</w:t>
      </w:r>
      <w:r w:rsidRPr="00334FCF">
        <w:rPr>
          <w:rFonts w:ascii="Times New Roman" w:hAnsi="Times New Roman" w:cs="Times New Roman"/>
          <w:sz w:val="28"/>
          <w:szCs w:val="28"/>
        </w:rPr>
        <w:t xml:space="preserve"> руб. в зависимости от маршрута.</w:t>
      </w:r>
    </w:p>
    <w:p w:rsidR="00770293" w:rsidRPr="00F347DA" w:rsidRDefault="00770293" w:rsidP="009C4C60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7DA">
        <w:rPr>
          <w:rFonts w:ascii="Times New Roman" w:hAnsi="Times New Roman" w:cs="Times New Roman"/>
          <w:b/>
          <w:bCs/>
          <w:sz w:val="28"/>
          <w:szCs w:val="28"/>
        </w:rPr>
        <w:t>СТРОИТЕЛЬСТВО</w:t>
      </w:r>
    </w:p>
    <w:p w:rsidR="000F642E" w:rsidRPr="00F347DA" w:rsidRDefault="000F642E" w:rsidP="000F642E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 итогам 12 месяцев 2024 года объем работ, выполненных по виду деятельности «Строительство» ориентировочно – 5424,4 млн. рублей, что по отношению к 2023 году (5396,2 млн. рублей) увеличился 28 млн. рублей, а индекс физического объема по отношению к 2023 году составил 90% , в связи с увеличением стоимости на строительные материалы и повышения заработной платы в строительстве.</w:t>
      </w:r>
    </w:p>
    <w:p w:rsidR="000F642E" w:rsidRPr="00F347DA" w:rsidRDefault="000F642E" w:rsidP="000F642E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городе Прокопьевске основную долю в капитальном строительстве по объему вложенных инвестиций занимает строительство объектов производственного назначения. </w:t>
      </w:r>
    </w:p>
    <w:p w:rsidR="000F642E" w:rsidRPr="00F347DA" w:rsidRDefault="000F642E" w:rsidP="000F642E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 31.12.2024 года введены в эксплуатацию: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еконструкция нежилого здания под здание бытового обслуживания общей площадью 245,5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; 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ж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елезнодорожные пути Парк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А, Парк Б по адресу: ул.Рождественская,2, сооружение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4,5;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ути необщего пользования участка Южный 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Маганак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«КВРП «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Новотранс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 II очередь 3 этап проектной мощностью 26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416,6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 адресу: ул.Рождественская,2Б; 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дание диспетчерской АТЦ общей площадью 51,8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 адресу: ул.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Луговая,19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б;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з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дание склада общей площадью 1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358,6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 адресу: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Прокопьевск, пл.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Фрунзе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,17;</w:t>
      </w:r>
    </w:p>
    <w:p w:rsidR="000F642E" w:rsidRPr="00F347DA" w:rsidRDefault="00597B42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</w:t>
      </w:r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оединительный путь №31 ПГО, г.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Прокопьевск.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Введены в эксплуатацию объекты непроизводственного назначения: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Храм Святителя Луки Крымского общей площадью 77,6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етский сад на 190 мест по адресу: г.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Прокопьевск, ул.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Институтская,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43 общей площадью 3666,2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еконструкция нежилого здания под здание бытового обслуживания по ул. 10 микрорайон, 56 общей площадью 245,5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; 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-бокс для хранения ретро автомобилей квартал Северный, 2а, общей площадью 372,6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0F642E" w:rsidRPr="00F347DA" w:rsidRDefault="000F642E" w:rsidP="000F642E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Ведется строительство объектов непроизводственного назначения: 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магазин по адресу: ул. Тимирязева общей площадью 361,4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мойка самообслуживания по адресу: ул.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Гайдара,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47А общей площадью 208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капитальный ремонт здания школы № 14 по проспекту Строителей, 25</w:t>
      </w:r>
    </w:p>
    <w:p w:rsid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строительство магазина по адресу: ул.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10 микрорайон, 56А общей площадью 284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-строительство «Храмовый комплекс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«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Приход храма Святителя Николая города Прокопьевска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по ул. Урожайная, 13, общей площадью 1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093,56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0F642E" w:rsidRPr="00F347DA" w:rsidRDefault="000F642E" w:rsidP="000F642E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Ведется строительство объектов производственного назначения: </w:t>
      </w:r>
    </w:p>
    <w:p w:rsidR="000F642E" w:rsidRPr="00F347DA" w:rsidRDefault="00597B42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</w:t>
      </w:r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Реконструкция I этапа Строительство </w:t>
      </w:r>
      <w:proofErr w:type="spellStart"/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ж.</w:t>
      </w:r>
      <w:proofErr w:type="gramStart"/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д.станции</w:t>
      </w:r>
      <w:proofErr w:type="spellEnd"/>
      <w:proofErr w:type="gramEnd"/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погрузки угля 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Центральные Копи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</w:t>
      </w:r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участка недр, </w:t>
      </w:r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Поле шахты Северный </w:t>
      </w:r>
      <w:proofErr w:type="spellStart"/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Маганак</w:t>
      </w:r>
      <w:proofErr w:type="spellEnd"/>
      <w:r w:rsidR="006F18C3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</w:t>
      </w:r>
      <w:r w:rsidR="000F642E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Строительство зданий и сооружений на производственной площадке участка недр «Поле шахты Северный 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Маганак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» ООО «Шахта №12» 2 этап общей площадью </w:t>
      </w:r>
      <w:r w:rsid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5916,39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Строительство зданий и сооружений на производственной площадке участка недр «Поле шахты Северный 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Маганак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» ООО «Шахта №12» 3 этап общей площадью </w:t>
      </w:r>
      <w:r w:rsid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1915,53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0F642E" w:rsidRPr="00F347DA" w:rsidRDefault="000F642E" w:rsidP="00F347DA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Строительство погрузочного комплекса на пункте погрузки участка «Южный 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Маганак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» общей площадью 461,55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0F642E" w:rsidRPr="00F347DA" w:rsidRDefault="000F642E" w:rsidP="00F347DA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 Бокс для хранения автомобилей общей площадью 634,95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916201" w:rsidRPr="00F347DA" w:rsidRDefault="000F642E" w:rsidP="00597B42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городе осуществляют 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строительно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–монтажные работы (далее СМР), </w:t>
      </w:r>
      <w:r w:rsid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            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ООО «Карбо-Альянс», ООО «Взрыв-Ресурс», ООО «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Новотранс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-Актив», ООО «СК» 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Стройстиль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», </w:t>
      </w:r>
      <w:r w:rsid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ОО "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ЭкоСтрой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ЛК", ООО «Разрез Березовский», ООО «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ТехноЭко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», АО ХК "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Новотранс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"</w:t>
      </w:r>
      <w:r w:rsidR="009C4C6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ООО «Шахта №12»</w:t>
      </w:r>
      <w:r w:rsidR="009C4C6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АО "Производственное объединение Водоканал", ООО "Кузбасс-3".</w:t>
      </w:r>
    </w:p>
    <w:p w:rsidR="00597B42" w:rsidRPr="00F347DA" w:rsidRDefault="00597B42" w:rsidP="006C1EE4">
      <w:pPr>
        <w:widowControl w:val="0"/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916201" w:rsidRPr="00F347DA" w:rsidRDefault="00916201" w:rsidP="00196085">
      <w:pPr>
        <w:widowControl w:val="0"/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Жилищное строительство и обеспечение граждан жильем.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Жилищный фонд на начало 2025 года составляет 5096,8 тыс. </w:t>
      </w:r>
      <w:r w:rsidR="006C1EE4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</w:p>
    <w:p w:rsidR="00916201" w:rsidRPr="00F347DA" w:rsidRDefault="00F26D40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среднем на 1 жителя приходится 29.87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общей площади жилых помещений. По отношению к 2023 году жилищный фонд уменьшился (5100,8 тыс. кв. метров) на 4 тыс.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общая площадь, приходящаяся на человека (29,6.м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) увеличилась на 0,27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 изменения произошли за счет уменьшения численности населения на 1,35% и уменьшения жилищного фонда на 0,1% за счет сноса аварийного жилья.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 итогам 2024 года организациями всех форм собственности и индивидуальными застройщиками введено 11,052 тыс.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общей площади жилья, что составило от годового плана 55,2%.(20,0 тыс.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),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 72,7 % по отношению к 2023 году. У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дельный вес жилых домов, построенных </w:t>
      </w:r>
      <w:r w:rsidR="00597B42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населением,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составил 100%. (11,052 тыс.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). </w:t>
      </w:r>
    </w:p>
    <w:p w:rsidR="00597B42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2025 году планируется ввести в эксплуатацию 24 тыс.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жилья за счет индивидуального жилищного строительства. 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 31.12.2024 года удельный вес аварийного жилого фонда составляет 2,54%. Комиссией МВК признаны аварийными 694 дома, в том числе 271 многоквартирных жилых дома, 423 индивидуальных жилых дома. Общая площадь аварийного жилищного фонда составляет 130,6 тыс.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в которых проживает 2340 семей, 4415 человек. В 2024 году аварийный фонд признан на 2,5 тыс.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больше, чем 2023 году (128,1 тыс.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), увеличение жилищного фонда произошло за счет роста аварийных индивидуальных жилых домов. Площадь аварийных многоквартирных жилых домов наоборот уменьшилась на 3,687 тыс.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благодаря действующей региональной адресной программе.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«Переселение граждан из многоквартирных домов, признанных до 01.01.2017 в установленном порядке аварийными и подлежащими сносу или реконструкции» на 2019-2024 годы, утвержденная постановлением Коллегии Администрации Кемеровской области № 199 от 29.03.2019 г.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 территории города Прокопьевска в рамках реализации вышеуказанной программы подлежало расселению по этапам 2019-2024 годов – 92 аварийных многоквартирных дома (признанных аварийными в период с 01.01.2012 до 01.01.2017 года) 467 квартир, 1170 человек, 20 615,2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м2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. 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Всего планировалось затратить 923 395 815 рубл</w:t>
      </w:r>
      <w:r w:rsidR="00032E8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ей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65 копеек, в том числе: 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ФБ – 827 389 385,14 рублей;</w:t>
      </w:r>
      <w:r w:rsidR="001960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 – 71 752 719,33 рублей; МБ – 24 253 711,18 рублей. 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 состоянию на 01.01.2025г. расселено 465 жилых помещений, в том числе: 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221 – муниципальные, 244– в частной собственности. 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Кассовое освоение 918 362 621 рублей 65 копеек. 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2024 году </w:t>
      </w:r>
      <w:proofErr w:type="spellStart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Прокопьевскому</w:t>
      </w:r>
      <w:proofErr w:type="spellEnd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городскому округу на расселение граждан из аварийного жилищного фонда доведены лимиты бюджетных обязательств на расселение 24 семей (49 человек) сумме 116 449 915,48 рублей, в т.ч.: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ФБ – 94 911 346,69 рублей;</w:t>
      </w:r>
      <w:r w:rsidR="001960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 – 19 866 930, 84 рублей;</w:t>
      </w:r>
      <w:r w:rsidR="001960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МБ – 1 671 637, 95 рублей.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 состоянию на 31.12.2024 года оплачено 94 432,768 тыс. рублей, в т.ч.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ФБ -83 889,408 тыс. рублей;</w:t>
      </w:r>
      <w:r w:rsidR="001960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 – 8 141,360 тыс. рублей;</w:t>
      </w:r>
      <w:r w:rsidR="001960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МБ – 2</w:t>
      </w:r>
      <w:r w:rsidR="00D62298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402,0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тыс.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рублей </w:t>
      </w:r>
    </w:p>
    <w:p w:rsidR="00916201" w:rsidRPr="00F347DA" w:rsidRDefault="00916201" w:rsidP="006C1EE4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 состоянию на 31.12.2024г. расселено 14 семей из аварийного жилого фонда, 10 семей были исключены из программы по иным причинам.  </w:t>
      </w:r>
    </w:p>
    <w:p w:rsidR="00916201" w:rsidRPr="00F347DA" w:rsidRDefault="00916201" w:rsidP="00A4076D">
      <w:pPr>
        <w:widowControl w:val="0"/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рамках реализации программ местного развития и обеспечения занятости для шахтерских городов и поселков, предусмотренных постановлением Правительства Российской Федерации от 22.12.2023 №2252, Федеральным законом от 27.11.2023 № 540-ФЗ «О федеральном бюджете на 2024 год и на п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ла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новый период 2025 и 2026 годов», в соответствии с Законом Кемеровской области – Кузбасса от 14 декабря 2023 № 117 - ОЗ «Об областном бюджете на 2024 год и на плановый период 2025 и 2026 годов» утверждены иные межбюджетные трансферты из федерального бюджета в размере </w:t>
      </w:r>
      <w:r w:rsidR="00A4076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2 706 785,5 тыс. руб. и областного бюджета </w:t>
      </w:r>
      <w:bookmarkStart w:id="5" w:name="_Hlk188004231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26 437,5 </w:t>
      </w:r>
      <w:bookmarkEnd w:id="5"/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тыс. рублей по направлению «Содействие переселяемым из ветхого жилья гражданам в приобретении жилья взамен сносимого».</w:t>
      </w:r>
      <w:r w:rsidR="00A4076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 данной программе переселено </w:t>
      </w: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552 семьи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(1247 человек)</w:t>
      </w:r>
      <w:r w:rsidR="0026432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916201" w:rsidRPr="00F347DA" w:rsidRDefault="00916201" w:rsidP="006C1EE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 обеспечение жильем социальной категории граждан (ветераны боевых действий, инвалиды, малоимущие граждане, и др.) направлено – </w:t>
      </w: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1,7 млн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 рублей из федерального бюджета на улучшение жилищных условий 1 инвалида</w:t>
      </w:r>
      <w:r w:rsidR="005D6234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согласно Федеральному закону от 24.11.1995 № 181-ФЗ «О социальной защите инвалидов».</w:t>
      </w:r>
    </w:p>
    <w:p w:rsidR="00916201" w:rsidRPr="00F347DA" w:rsidRDefault="00916201" w:rsidP="006C1EE4">
      <w:pPr>
        <w:widowControl w:val="0"/>
        <w:tabs>
          <w:tab w:val="left" w:pos="-1800"/>
          <w:tab w:val="left" w:pos="54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рамках мероприятия «Реализация мероприятий по обеспечению жильем молодых семей» государственной программы Кемеровской области «Жилищная и социальная инфраструктура Кузбасса» </w:t>
      </w: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3 молодым семьям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(16 человек) предоставлены социальные выплаты на приобретение (строительств</w:t>
      </w:r>
      <w:r w:rsidR="00A4076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) жилья в размере </w:t>
      </w: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4,5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млн. рублей, в том числе:</w:t>
      </w:r>
    </w:p>
    <w:p w:rsidR="00916201" w:rsidRPr="00F347DA" w:rsidRDefault="00D62298" w:rsidP="00196085">
      <w:pPr>
        <w:widowControl w:val="0"/>
        <w:tabs>
          <w:tab w:val="left" w:pos="-1800"/>
          <w:tab w:val="left" w:pos="540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ФБ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-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0,7 млн. рублей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="001960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ОБ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-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2,5 млн. рублей,</w:t>
      </w:r>
      <w:r w:rsidR="0019608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МБ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-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1,3 млн. рублей.</w:t>
      </w:r>
    </w:p>
    <w:p w:rsidR="00F26D40" w:rsidRPr="00F347DA" w:rsidRDefault="00916201" w:rsidP="006C1EE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 переселение </w:t>
      </w: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детей-сирот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оставшихся без попечения родителей в 2024 году выделено </w:t>
      </w: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414,635 м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лн. рублей, в том числе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</w:p>
    <w:p w:rsidR="00F26D40" w:rsidRPr="00F347DA" w:rsidRDefault="00916201" w:rsidP="006C1EE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100 сирот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получили сертификаты из областного бюджета на сумму 300,973 млн. рублей для улучшения своих жилищных условий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D62298" w:rsidRPr="00F347DA" w:rsidRDefault="00916201" w:rsidP="006C1EE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44 сиротам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приобретены квартиры на сумму 113,662 млн. рублей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(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том </w:t>
      </w:r>
      <w:r w:rsidR="00D62298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числе:</w:t>
      </w:r>
    </w:p>
    <w:p w:rsidR="00916201" w:rsidRPr="00F347DA" w:rsidRDefault="00F26D40" w:rsidP="006C1EE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из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ФБ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-19,1 млн. рублей,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 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 </w:t>
      </w:r>
      <w:r w:rsidR="00916201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-94,6 млн. рублей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);</w:t>
      </w:r>
    </w:p>
    <w:p w:rsidR="00916201" w:rsidRPr="00F347DA" w:rsidRDefault="00916201" w:rsidP="006C1EE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7 сиротам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предоставлены жилые помещения из жилищного фонда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;</w:t>
      </w:r>
    </w:p>
    <w:p w:rsidR="00D62298" w:rsidRPr="00F347DA" w:rsidRDefault="00916201" w:rsidP="00D6229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11 сирот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приобрели квартиры самостоятельно.</w:t>
      </w:r>
    </w:p>
    <w:p w:rsidR="00916201" w:rsidRDefault="00916201" w:rsidP="00D6229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За счет местного бюджета выплачена компенсация по решению суда в размере </w:t>
      </w: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224,8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F26D40"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</w:t>
      </w:r>
      <w:r w:rsidRPr="00F347D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лн. рублей на улучшения жилищных условий </w:t>
      </w:r>
      <w:r w:rsidRPr="00F347DA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114 граждан.</w:t>
      </w:r>
    </w:p>
    <w:p w:rsidR="00A4076D" w:rsidRPr="00F347DA" w:rsidRDefault="00A4076D" w:rsidP="00D62298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916201" w:rsidRPr="00F347DA" w:rsidRDefault="00916201" w:rsidP="005A6D0D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7DA">
        <w:rPr>
          <w:rFonts w:ascii="Times New Roman" w:hAnsi="Times New Roman" w:cs="Times New Roman"/>
          <w:b/>
          <w:bCs/>
          <w:sz w:val="28"/>
          <w:szCs w:val="28"/>
        </w:rPr>
        <w:t>СОЦИАЛЬНАЯ СФЕРА</w:t>
      </w:r>
    </w:p>
    <w:p w:rsidR="00272F0B" w:rsidRPr="00F347DA" w:rsidRDefault="00272F0B" w:rsidP="00FC54B3">
      <w:pPr>
        <w:pStyle w:val="5"/>
        <w:tabs>
          <w:tab w:val="left" w:pos="900"/>
        </w:tabs>
        <w:suppressAutoHyphens w:val="0"/>
        <w:spacing w:before="0" w:after="0" w:line="276" w:lineRule="auto"/>
        <w:ind w:firstLine="567"/>
        <w:jc w:val="center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347DA">
        <w:rPr>
          <w:rFonts w:ascii="Times New Roman" w:hAnsi="Times New Roman" w:cs="Times New Roman"/>
          <w:i w:val="0"/>
          <w:iCs w:val="0"/>
          <w:sz w:val="28"/>
          <w:szCs w:val="28"/>
        </w:rPr>
        <w:t>СОЦИАЛЬНАЯ ЗАЩИТА НАСЕЛЕНИЯ</w:t>
      </w:r>
    </w:p>
    <w:p w:rsidR="00272F0B" w:rsidRPr="00F347DA" w:rsidRDefault="00272F0B" w:rsidP="0019608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Сумма общих расходов по финансовому обеспечению мероприятий по социальной поддержке и социальному обслуживанию населения города Прокопьевска за 202</w:t>
      </w:r>
      <w:r w:rsidR="006511ED" w:rsidRPr="00F347DA">
        <w:rPr>
          <w:rFonts w:ascii="Times New Roman" w:hAnsi="Times New Roman" w:cs="Times New Roman"/>
          <w:sz w:val="28"/>
          <w:szCs w:val="28"/>
        </w:rPr>
        <w:t>4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по муниципальной программе «Качество жизни» составила – </w:t>
      </w:r>
      <w:r w:rsidR="006511ED" w:rsidRPr="00F347DA">
        <w:rPr>
          <w:rFonts w:ascii="Times New Roman" w:hAnsi="Times New Roman" w:cs="Times New Roman"/>
          <w:sz w:val="28"/>
          <w:szCs w:val="28"/>
        </w:rPr>
        <w:t>672,7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 в сравнении с 202</w:t>
      </w:r>
      <w:r w:rsidR="006511ED" w:rsidRPr="00F347DA">
        <w:rPr>
          <w:rFonts w:ascii="Times New Roman" w:hAnsi="Times New Roman" w:cs="Times New Roman"/>
          <w:sz w:val="28"/>
          <w:szCs w:val="28"/>
        </w:rPr>
        <w:t>3</w:t>
      </w:r>
      <w:r w:rsidRPr="00F347DA">
        <w:rPr>
          <w:rFonts w:ascii="Times New Roman" w:hAnsi="Times New Roman" w:cs="Times New Roman"/>
          <w:sz w:val="28"/>
          <w:szCs w:val="28"/>
        </w:rPr>
        <w:t>годом  на 8</w:t>
      </w:r>
      <w:r w:rsidR="006511ED" w:rsidRPr="00F347DA">
        <w:rPr>
          <w:rFonts w:ascii="Times New Roman" w:hAnsi="Times New Roman" w:cs="Times New Roman"/>
          <w:sz w:val="28"/>
          <w:szCs w:val="28"/>
        </w:rPr>
        <w:t>9</w:t>
      </w:r>
      <w:r w:rsidRPr="00F347DA">
        <w:rPr>
          <w:rFonts w:ascii="Times New Roman" w:hAnsi="Times New Roman" w:cs="Times New Roman"/>
          <w:sz w:val="28"/>
          <w:szCs w:val="28"/>
        </w:rPr>
        <w:t>,</w:t>
      </w:r>
      <w:r w:rsidR="006511ED" w:rsidRPr="00F347DA">
        <w:rPr>
          <w:rFonts w:ascii="Times New Roman" w:hAnsi="Times New Roman" w:cs="Times New Roman"/>
          <w:sz w:val="28"/>
          <w:szCs w:val="28"/>
        </w:rPr>
        <w:t>2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 больше (финансирование за 202</w:t>
      </w:r>
      <w:r w:rsidR="006511ED" w:rsidRPr="00F347DA">
        <w:rPr>
          <w:rFonts w:ascii="Times New Roman" w:hAnsi="Times New Roman" w:cs="Times New Roman"/>
          <w:sz w:val="28"/>
          <w:szCs w:val="28"/>
        </w:rPr>
        <w:t>3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 – 5</w:t>
      </w:r>
      <w:r w:rsidR="006511ED" w:rsidRPr="00F347DA">
        <w:rPr>
          <w:rFonts w:ascii="Times New Roman" w:hAnsi="Times New Roman" w:cs="Times New Roman"/>
          <w:sz w:val="28"/>
          <w:szCs w:val="28"/>
        </w:rPr>
        <w:t>83</w:t>
      </w:r>
      <w:r w:rsidRPr="00F347DA">
        <w:rPr>
          <w:rFonts w:ascii="Times New Roman" w:hAnsi="Times New Roman" w:cs="Times New Roman"/>
          <w:sz w:val="28"/>
          <w:szCs w:val="28"/>
        </w:rPr>
        <w:t>,</w:t>
      </w:r>
      <w:r w:rsidR="006511ED" w:rsidRPr="00F347DA">
        <w:rPr>
          <w:rFonts w:ascii="Times New Roman" w:hAnsi="Times New Roman" w:cs="Times New Roman"/>
          <w:sz w:val="28"/>
          <w:szCs w:val="28"/>
        </w:rPr>
        <w:t>8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руб.).</w:t>
      </w:r>
    </w:p>
    <w:p w:rsidR="00272F0B" w:rsidRPr="00F347DA" w:rsidRDefault="00272F0B" w:rsidP="00196085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Уровень финансирования реализации данной программы за 20</w:t>
      </w:r>
      <w:r w:rsidR="006511ED" w:rsidRPr="00F347DA">
        <w:rPr>
          <w:rFonts w:ascii="Times New Roman" w:hAnsi="Times New Roman" w:cs="Times New Roman"/>
          <w:sz w:val="28"/>
          <w:szCs w:val="28"/>
        </w:rPr>
        <w:t>24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составил – 99,</w:t>
      </w:r>
      <w:r w:rsidR="006511ED" w:rsidRPr="00F347DA">
        <w:rPr>
          <w:rFonts w:ascii="Times New Roman" w:hAnsi="Times New Roman" w:cs="Times New Roman"/>
          <w:sz w:val="28"/>
          <w:szCs w:val="28"/>
        </w:rPr>
        <w:t>3</w:t>
      </w:r>
      <w:r w:rsidRPr="0026432A">
        <w:rPr>
          <w:rFonts w:ascii="Times New Roman" w:hAnsi="Times New Roman" w:cs="Times New Roman"/>
          <w:sz w:val="28"/>
          <w:szCs w:val="28"/>
        </w:rPr>
        <w:t>% (за 202</w:t>
      </w:r>
      <w:r w:rsidR="0026432A" w:rsidRPr="0026432A">
        <w:rPr>
          <w:rFonts w:ascii="Times New Roman" w:hAnsi="Times New Roman" w:cs="Times New Roman"/>
          <w:sz w:val="28"/>
          <w:szCs w:val="28"/>
        </w:rPr>
        <w:t>3</w:t>
      </w:r>
      <w:r w:rsidRPr="0026432A">
        <w:rPr>
          <w:rFonts w:ascii="Times New Roman" w:hAnsi="Times New Roman" w:cs="Times New Roman"/>
          <w:sz w:val="28"/>
          <w:szCs w:val="28"/>
        </w:rPr>
        <w:t xml:space="preserve"> год - 99,</w:t>
      </w:r>
      <w:r w:rsidR="006511ED" w:rsidRPr="0026432A">
        <w:rPr>
          <w:rFonts w:ascii="Times New Roman" w:hAnsi="Times New Roman" w:cs="Times New Roman"/>
          <w:sz w:val="28"/>
          <w:szCs w:val="28"/>
        </w:rPr>
        <w:t>8</w:t>
      </w:r>
      <w:r w:rsidRPr="0026432A">
        <w:rPr>
          <w:rFonts w:ascii="Times New Roman" w:hAnsi="Times New Roman" w:cs="Times New Roman"/>
          <w:sz w:val="28"/>
          <w:szCs w:val="28"/>
        </w:rPr>
        <w:t>%), фактический объем финансирования</w:t>
      </w:r>
      <w:r w:rsidRPr="00F347DA">
        <w:rPr>
          <w:rFonts w:ascii="Times New Roman" w:hAnsi="Times New Roman" w:cs="Times New Roman"/>
          <w:sz w:val="28"/>
          <w:szCs w:val="28"/>
        </w:rPr>
        <w:t xml:space="preserve"> за 202</w:t>
      </w:r>
      <w:r w:rsidR="006511ED" w:rsidRPr="00F347DA">
        <w:rPr>
          <w:rFonts w:ascii="Times New Roman" w:hAnsi="Times New Roman" w:cs="Times New Roman"/>
          <w:sz w:val="28"/>
          <w:szCs w:val="28"/>
        </w:rPr>
        <w:t>4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11ED" w:rsidRPr="00F347DA">
        <w:rPr>
          <w:rFonts w:ascii="Times New Roman" w:hAnsi="Times New Roman" w:cs="Times New Roman"/>
          <w:sz w:val="28"/>
          <w:szCs w:val="28"/>
        </w:rPr>
        <w:t>672,7</w:t>
      </w:r>
      <w:r w:rsidRPr="00F347DA">
        <w:rPr>
          <w:rFonts w:ascii="Times New Roman" w:hAnsi="Times New Roman" w:cs="Times New Roman"/>
          <w:sz w:val="28"/>
          <w:szCs w:val="28"/>
        </w:rPr>
        <w:t>млн.руб. (за 202</w:t>
      </w:r>
      <w:r w:rsidR="006511ED" w:rsidRPr="00F347DA">
        <w:rPr>
          <w:rFonts w:ascii="Times New Roman" w:hAnsi="Times New Roman" w:cs="Times New Roman"/>
          <w:sz w:val="28"/>
          <w:szCs w:val="28"/>
        </w:rPr>
        <w:t>3</w:t>
      </w:r>
      <w:r w:rsidR="009A3BAD" w:rsidRPr="00F347DA">
        <w:rPr>
          <w:rFonts w:ascii="Times New Roman" w:hAnsi="Times New Roman" w:cs="Times New Roman"/>
          <w:sz w:val="28"/>
          <w:szCs w:val="28"/>
        </w:rPr>
        <w:t xml:space="preserve"> год - </w:t>
      </w:r>
      <w:r w:rsidR="006511ED" w:rsidRPr="00F347DA">
        <w:rPr>
          <w:rFonts w:ascii="Times New Roman" w:hAnsi="Times New Roman" w:cs="Times New Roman"/>
          <w:sz w:val="28"/>
          <w:szCs w:val="28"/>
        </w:rPr>
        <w:t>583,8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руб.), плановый годовой объем финансирования – за 202</w:t>
      </w:r>
      <w:r w:rsidR="009A3BAD" w:rsidRPr="00F347DA">
        <w:rPr>
          <w:rFonts w:ascii="Times New Roman" w:hAnsi="Times New Roman" w:cs="Times New Roman"/>
          <w:sz w:val="28"/>
          <w:szCs w:val="28"/>
        </w:rPr>
        <w:t>4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</w:t>
      </w:r>
      <w:r w:rsidR="009A3BAD" w:rsidRPr="00F347DA">
        <w:rPr>
          <w:rFonts w:ascii="Times New Roman" w:hAnsi="Times New Roman" w:cs="Times New Roman"/>
          <w:sz w:val="28"/>
          <w:szCs w:val="28"/>
        </w:rPr>
        <w:t>677</w:t>
      </w:r>
      <w:r w:rsidRPr="00F347DA">
        <w:rPr>
          <w:rFonts w:ascii="Times New Roman" w:hAnsi="Times New Roman" w:cs="Times New Roman"/>
          <w:sz w:val="28"/>
          <w:szCs w:val="28"/>
        </w:rPr>
        <w:t>,</w:t>
      </w:r>
      <w:r w:rsidR="009A3BAD" w:rsidRPr="00F347DA">
        <w:rPr>
          <w:rFonts w:ascii="Times New Roman" w:hAnsi="Times New Roman" w:cs="Times New Roman"/>
          <w:sz w:val="28"/>
          <w:szCs w:val="28"/>
        </w:rPr>
        <w:t>5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 (за 202</w:t>
      </w:r>
      <w:r w:rsidR="009A3BAD" w:rsidRPr="00F347DA">
        <w:rPr>
          <w:rFonts w:ascii="Times New Roman" w:hAnsi="Times New Roman" w:cs="Times New Roman"/>
          <w:sz w:val="28"/>
          <w:szCs w:val="28"/>
        </w:rPr>
        <w:t>3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– 5</w:t>
      </w:r>
      <w:r w:rsidR="009A3BAD" w:rsidRPr="00F347DA">
        <w:rPr>
          <w:rFonts w:ascii="Times New Roman" w:hAnsi="Times New Roman" w:cs="Times New Roman"/>
          <w:sz w:val="28"/>
          <w:szCs w:val="28"/>
        </w:rPr>
        <w:t>8</w:t>
      </w:r>
      <w:r w:rsidRPr="00F347DA">
        <w:rPr>
          <w:rFonts w:ascii="Times New Roman" w:hAnsi="Times New Roman" w:cs="Times New Roman"/>
          <w:sz w:val="28"/>
          <w:szCs w:val="28"/>
        </w:rPr>
        <w:t>4,</w:t>
      </w:r>
      <w:r w:rsidR="009A3BAD" w:rsidRPr="00F347DA">
        <w:rPr>
          <w:rFonts w:ascii="Times New Roman" w:hAnsi="Times New Roman" w:cs="Times New Roman"/>
          <w:sz w:val="28"/>
          <w:szCs w:val="28"/>
        </w:rPr>
        <w:t>7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руб.).</w:t>
      </w:r>
    </w:p>
    <w:p w:rsidR="00272F0B" w:rsidRPr="00F347DA" w:rsidRDefault="00272F0B" w:rsidP="005A6D0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Основные направления расходов муниципальной программы «Качество жизни»:</w:t>
      </w:r>
    </w:p>
    <w:p w:rsidR="00272F0B" w:rsidRPr="00F347DA" w:rsidRDefault="00272F0B" w:rsidP="00FC54B3">
      <w:pPr>
        <w:pStyle w:val="ab"/>
        <w:widowControl w:val="0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реализация мер социальной поддержки отдельных категорий граждан – за 202</w:t>
      </w:r>
      <w:r w:rsidR="009A3BAD" w:rsidRPr="00F347DA">
        <w:rPr>
          <w:rFonts w:ascii="Times New Roman" w:hAnsi="Times New Roman" w:cs="Times New Roman"/>
          <w:sz w:val="28"/>
          <w:szCs w:val="28"/>
        </w:rPr>
        <w:t>4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9A3BAD" w:rsidRPr="00F347DA">
        <w:rPr>
          <w:rFonts w:ascii="Times New Roman" w:hAnsi="Times New Roman" w:cs="Times New Roman"/>
          <w:sz w:val="28"/>
          <w:szCs w:val="28"/>
        </w:rPr>
        <w:t>51,2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 (за 202</w:t>
      </w:r>
      <w:r w:rsidR="009A3BAD" w:rsidRPr="00F347DA">
        <w:rPr>
          <w:rFonts w:ascii="Times New Roman" w:hAnsi="Times New Roman" w:cs="Times New Roman"/>
          <w:sz w:val="28"/>
          <w:szCs w:val="28"/>
        </w:rPr>
        <w:t>3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– 4</w:t>
      </w:r>
      <w:r w:rsidR="009A3BAD" w:rsidRPr="00F347DA">
        <w:rPr>
          <w:rFonts w:ascii="Times New Roman" w:hAnsi="Times New Roman" w:cs="Times New Roman"/>
          <w:sz w:val="28"/>
          <w:szCs w:val="28"/>
        </w:rPr>
        <w:t>9</w:t>
      </w:r>
      <w:r w:rsidRPr="00F347DA">
        <w:rPr>
          <w:rFonts w:ascii="Times New Roman" w:hAnsi="Times New Roman" w:cs="Times New Roman"/>
          <w:sz w:val="28"/>
          <w:szCs w:val="28"/>
        </w:rPr>
        <w:t>,</w:t>
      </w:r>
      <w:r w:rsidR="009A3BAD" w:rsidRPr="00F347DA">
        <w:rPr>
          <w:rFonts w:ascii="Times New Roman" w:hAnsi="Times New Roman" w:cs="Times New Roman"/>
          <w:sz w:val="28"/>
          <w:szCs w:val="28"/>
        </w:rPr>
        <w:t>3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руб.);</w:t>
      </w:r>
    </w:p>
    <w:p w:rsidR="00272F0B" w:rsidRPr="00F347DA" w:rsidRDefault="00272F0B" w:rsidP="00FC54B3">
      <w:pPr>
        <w:pStyle w:val="ab"/>
        <w:widowControl w:val="0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финансовое обеспечение деятельности (оказание услуг) учреждений – за 202</w:t>
      </w:r>
      <w:r w:rsidR="009A3BAD" w:rsidRPr="00F347DA">
        <w:rPr>
          <w:rFonts w:ascii="Times New Roman" w:hAnsi="Times New Roman" w:cs="Times New Roman"/>
          <w:sz w:val="28"/>
          <w:szCs w:val="28"/>
        </w:rPr>
        <w:t>4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A3BAD" w:rsidRPr="00F347DA">
        <w:rPr>
          <w:rFonts w:ascii="Times New Roman" w:hAnsi="Times New Roman" w:cs="Times New Roman"/>
          <w:sz w:val="28"/>
          <w:szCs w:val="28"/>
        </w:rPr>
        <w:t>411,1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 (за 202</w:t>
      </w:r>
      <w:r w:rsidR="009A3BAD" w:rsidRPr="00F347DA">
        <w:rPr>
          <w:rFonts w:ascii="Times New Roman" w:hAnsi="Times New Roman" w:cs="Times New Roman"/>
          <w:sz w:val="28"/>
          <w:szCs w:val="28"/>
        </w:rPr>
        <w:t>3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г. – 3</w:t>
      </w:r>
      <w:r w:rsidR="009A3BAD" w:rsidRPr="00F347DA">
        <w:rPr>
          <w:rFonts w:ascii="Times New Roman" w:hAnsi="Times New Roman" w:cs="Times New Roman"/>
          <w:sz w:val="28"/>
          <w:szCs w:val="28"/>
        </w:rPr>
        <w:t>6</w:t>
      </w:r>
      <w:r w:rsidRPr="00F347DA">
        <w:rPr>
          <w:rFonts w:ascii="Times New Roman" w:hAnsi="Times New Roman" w:cs="Times New Roman"/>
          <w:sz w:val="28"/>
          <w:szCs w:val="28"/>
        </w:rPr>
        <w:t>6,</w:t>
      </w:r>
      <w:r w:rsidR="009A3BAD" w:rsidRPr="00F347DA">
        <w:rPr>
          <w:rFonts w:ascii="Times New Roman" w:hAnsi="Times New Roman" w:cs="Times New Roman"/>
          <w:sz w:val="28"/>
          <w:szCs w:val="28"/>
        </w:rPr>
        <w:t>2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руб.);</w:t>
      </w:r>
    </w:p>
    <w:p w:rsidR="00272F0B" w:rsidRPr="00F347DA" w:rsidRDefault="00272F0B" w:rsidP="00FC54B3">
      <w:pPr>
        <w:pStyle w:val="ab"/>
        <w:widowControl w:val="0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реализация дополнительных мероприятий, направленных на повышение качества жизни населения за 202</w:t>
      </w:r>
      <w:r w:rsidR="009A3BAD" w:rsidRPr="00F347DA">
        <w:rPr>
          <w:rFonts w:ascii="Times New Roman" w:hAnsi="Times New Roman" w:cs="Times New Roman"/>
          <w:sz w:val="28"/>
          <w:szCs w:val="28"/>
        </w:rPr>
        <w:t>4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A3BAD" w:rsidRPr="00F347DA">
        <w:rPr>
          <w:rFonts w:ascii="Times New Roman" w:hAnsi="Times New Roman" w:cs="Times New Roman"/>
          <w:sz w:val="28"/>
          <w:szCs w:val="28"/>
        </w:rPr>
        <w:t>90,9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 (за 202</w:t>
      </w:r>
      <w:r w:rsidR="009A3BAD" w:rsidRPr="00F347DA">
        <w:rPr>
          <w:rFonts w:ascii="Times New Roman" w:hAnsi="Times New Roman" w:cs="Times New Roman"/>
          <w:sz w:val="28"/>
          <w:szCs w:val="28"/>
        </w:rPr>
        <w:t>3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A3BAD" w:rsidRPr="00F347DA">
        <w:rPr>
          <w:rFonts w:ascii="Times New Roman" w:hAnsi="Times New Roman" w:cs="Times New Roman"/>
          <w:sz w:val="28"/>
          <w:szCs w:val="28"/>
        </w:rPr>
        <w:t>64,2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руб.);</w:t>
      </w:r>
    </w:p>
    <w:p w:rsidR="00272F0B" w:rsidRPr="00F347DA" w:rsidRDefault="00272F0B" w:rsidP="00FC54B3">
      <w:pPr>
        <w:pStyle w:val="ab"/>
        <w:widowControl w:val="0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содержание органов местного самоуправления за 202</w:t>
      </w:r>
      <w:r w:rsidR="009A3BAD" w:rsidRPr="00F347DA">
        <w:rPr>
          <w:rFonts w:ascii="Times New Roman" w:hAnsi="Times New Roman" w:cs="Times New Roman"/>
          <w:sz w:val="28"/>
          <w:szCs w:val="28"/>
        </w:rPr>
        <w:t>4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 – 1</w:t>
      </w:r>
      <w:r w:rsidR="009A3BAD" w:rsidRPr="00F347DA">
        <w:rPr>
          <w:rFonts w:ascii="Times New Roman" w:hAnsi="Times New Roman" w:cs="Times New Roman"/>
          <w:sz w:val="28"/>
          <w:szCs w:val="28"/>
        </w:rPr>
        <w:t>19,5</w:t>
      </w:r>
      <w:r w:rsidRPr="00F347DA">
        <w:rPr>
          <w:rFonts w:ascii="Times New Roman" w:hAnsi="Times New Roman" w:cs="Times New Roman"/>
          <w:sz w:val="28"/>
          <w:szCs w:val="28"/>
        </w:rPr>
        <w:t xml:space="preserve"> млн. руб. (за 202</w:t>
      </w:r>
      <w:r w:rsidR="009A3BAD" w:rsidRPr="00F347DA">
        <w:rPr>
          <w:rFonts w:ascii="Times New Roman" w:hAnsi="Times New Roman" w:cs="Times New Roman"/>
          <w:sz w:val="28"/>
          <w:szCs w:val="28"/>
        </w:rPr>
        <w:t>3</w:t>
      </w:r>
      <w:r w:rsidRPr="00F347DA">
        <w:rPr>
          <w:rFonts w:ascii="Times New Roman" w:hAnsi="Times New Roman" w:cs="Times New Roman"/>
          <w:sz w:val="28"/>
          <w:szCs w:val="28"/>
        </w:rPr>
        <w:t xml:space="preserve">год - </w:t>
      </w:r>
      <w:r w:rsidR="009A3BAD" w:rsidRPr="00F347DA">
        <w:rPr>
          <w:rFonts w:ascii="Times New Roman" w:hAnsi="Times New Roman" w:cs="Times New Roman"/>
          <w:sz w:val="28"/>
          <w:szCs w:val="28"/>
        </w:rPr>
        <w:t>104</w:t>
      </w:r>
      <w:r w:rsidRPr="00F347DA">
        <w:rPr>
          <w:rFonts w:ascii="Times New Roman" w:hAnsi="Times New Roman" w:cs="Times New Roman"/>
          <w:sz w:val="28"/>
          <w:szCs w:val="28"/>
        </w:rPr>
        <w:t>,1 млн. руб.).</w:t>
      </w:r>
    </w:p>
    <w:p w:rsidR="009A3BAD" w:rsidRPr="00F347DA" w:rsidRDefault="009A3BAD" w:rsidP="00231BFE">
      <w:pPr>
        <w:widowControl w:val="0"/>
        <w:tabs>
          <w:tab w:val="left" w:pos="851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На 01.01.2025 на учете в отделах социальной защиты состоят около 45 тыс. граждан, имеющих право на меры социальной поддержки.</w:t>
      </w:r>
    </w:p>
    <w:p w:rsidR="009A3BAD" w:rsidRPr="00F347DA" w:rsidRDefault="009A3BAD" w:rsidP="00231BFE">
      <w:pPr>
        <w:widowControl w:val="0"/>
        <w:tabs>
          <w:tab w:val="left" w:pos="851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 xml:space="preserve">Предоставляется 65 видов выплат. </w:t>
      </w:r>
    </w:p>
    <w:p w:rsidR="009A3BAD" w:rsidRPr="00F347DA" w:rsidRDefault="009A3BAD" w:rsidP="00231BFE">
      <w:pPr>
        <w:widowControl w:val="0"/>
        <w:tabs>
          <w:tab w:val="left" w:pos="851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 xml:space="preserve">За 2024 год было проведено личных консультаций граждан - 29615 и 12 консультаций в электронном виде. </w:t>
      </w:r>
    </w:p>
    <w:p w:rsidR="009A3BAD" w:rsidRPr="00F347DA" w:rsidRDefault="009A3BAD" w:rsidP="00231BFE">
      <w:pPr>
        <w:widowControl w:val="0"/>
        <w:tabs>
          <w:tab w:val="left" w:pos="851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Для предоставления мер социальной поддержки в 2024 году было сделано 205672 межведомственных запросов.</w:t>
      </w:r>
    </w:p>
    <w:p w:rsidR="009A3BAD" w:rsidRPr="00F347DA" w:rsidRDefault="009A3BAD" w:rsidP="00231BFE">
      <w:pPr>
        <w:widowControl w:val="0"/>
        <w:tabs>
          <w:tab w:val="left" w:pos="851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 xml:space="preserve">За 2024 год было принято от граждан 34276 заявлений для предоставления мер социальной поддержки. </w:t>
      </w:r>
    </w:p>
    <w:p w:rsidR="009A3BAD" w:rsidRPr="00F347DA" w:rsidRDefault="009A3BAD" w:rsidP="00931ACF">
      <w:pPr>
        <w:widowControl w:val="0"/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Доля принятых заявлений в электронном виде по массово социально - значимым услугам за 2024 год составила 85,61 %, что превысило плановый показатель на 35,61%.</w:t>
      </w:r>
    </w:p>
    <w:p w:rsidR="00FC54B3" w:rsidRPr="00F347DA" w:rsidRDefault="00FC54B3" w:rsidP="00A51ECC">
      <w:pPr>
        <w:widowControl w:val="0"/>
        <w:spacing w:before="240"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7DA">
        <w:rPr>
          <w:rFonts w:ascii="Times New Roman" w:hAnsi="Times New Roman" w:cs="Times New Roman"/>
          <w:b/>
          <w:sz w:val="28"/>
          <w:szCs w:val="28"/>
        </w:rPr>
        <w:t>Работа с ветеранами и инвалидами</w:t>
      </w:r>
    </w:p>
    <w:p w:rsidR="00FC54B3" w:rsidRPr="00F347DA" w:rsidRDefault="00FC54B3" w:rsidP="00196085">
      <w:pPr>
        <w:pStyle w:val="a7"/>
        <w:widowControl w:val="0"/>
        <w:tabs>
          <w:tab w:val="left" w:pos="720"/>
          <w:tab w:val="left" w:pos="90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7DA">
        <w:rPr>
          <w:rFonts w:ascii="Times New Roman" w:hAnsi="Times New Roman" w:cs="Times New Roman"/>
          <w:sz w:val="28"/>
          <w:szCs w:val="28"/>
        </w:rPr>
        <w:t>На 01.01.202</w:t>
      </w:r>
      <w:r w:rsidR="009A3BAD" w:rsidRPr="00F347DA">
        <w:rPr>
          <w:rFonts w:ascii="Times New Roman" w:hAnsi="Times New Roman" w:cs="Times New Roman"/>
          <w:sz w:val="28"/>
          <w:szCs w:val="28"/>
        </w:rPr>
        <w:t>5</w:t>
      </w:r>
      <w:r w:rsidRPr="00F347DA">
        <w:rPr>
          <w:rFonts w:ascii="Times New Roman" w:hAnsi="Times New Roman" w:cs="Times New Roman"/>
          <w:sz w:val="28"/>
          <w:szCs w:val="28"/>
        </w:rPr>
        <w:t>г. в Прокопьевске 19</w:t>
      </w:r>
      <w:r w:rsidR="00231BFE" w:rsidRPr="00F347DA">
        <w:rPr>
          <w:rFonts w:ascii="Times New Roman" w:hAnsi="Times New Roman" w:cs="Times New Roman"/>
          <w:sz w:val="28"/>
          <w:szCs w:val="28"/>
        </w:rPr>
        <w:t> </w:t>
      </w:r>
      <w:r w:rsidR="009A3BAD" w:rsidRPr="00F347DA">
        <w:rPr>
          <w:rFonts w:ascii="Times New Roman" w:hAnsi="Times New Roman" w:cs="Times New Roman"/>
          <w:sz w:val="28"/>
          <w:szCs w:val="28"/>
        </w:rPr>
        <w:t>179</w:t>
      </w:r>
      <w:r w:rsidR="00231BFE" w:rsidRPr="00F347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47DA">
        <w:rPr>
          <w:rFonts w:ascii="Times New Roman" w:hAnsi="Times New Roman" w:cs="Times New Roman"/>
          <w:sz w:val="28"/>
          <w:szCs w:val="28"/>
        </w:rPr>
        <w:t>прокопчан</w:t>
      </w:r>
      <w:proofErr w:type="spellEnd"/>
      <w:r w:rsidRPr="00F347DA">
        <w:rPr>
          <w:rFonts w:ascii="Times New Roman" w:hAnsi="Times New Roman" w:cs="Times New Roman"/>
          <w:sz w:val="28"/>
          <w:szCs w:val="28"/>
        </w:rPr>
        <w:t xml:space="preserve"> (</w:t>
      </w:r>
      <w:r w:rsidR="009A3BAD" w:rsidRPr="00F347DA">
        <w:rPr>
          <w:rFonts w:ascii="Times New Roman" w:hAnsi="Times New Roman" w:cs="Times New Roman"/>
          <w:sz w:val="28"/>
          <w:szCs w:val="28"/>
        </w:rPr>
        <w:t>19</w:t>
      </w:r>
      <w:r w:rsidR="00231BFE" w:rsidRPr="00F347DA">
        <w:rPr>
          <w:rFonts w:ascii="Times New Roman" w:hAnsi="Times New Roman" w:cs="Times New Roman"/>
          <w:sz w:val="28"/>
          <w:szCs w:val="28"/>
        </w:rPr>
        <w:t xml:space="preserve"> </w:t>
      </w:r>
      <w:r w:rsidR="009A3BAD" w:rsidRPr="00F347DA">
        <w:rPr>
          <w:rFonts w:ascii="Times New Roman" w:hAnsi="Times New Roman" w:cs="Times New Roman"/>
          <w:sz w:val="28"/>
          <w:szCs w:val="28"/>
        </w:rPr>
        <w:t>832</w:t>
      </w:r>
      <w:r w:rsidRPr="00F347DA">
        <w:rPr>
          <w:rFonts w:ascii="Times New Roman" w:hAnsi="Times New Roman" w:cs="Times New Roman"/>
          <w:sz w:val="28"/>
          <w:szCs w:val="28"/>
        </w:rPr>
        <w:t xml:space="preserve"> на 01.01.202</w:t>
      </w:r>
      <w:r w:rsidR="009A3BAD" w:rsidRPr="00F347DA">
        <w:rPr>
          <w:rFonts w:ascii="Times New Roman" w:hAnsi="Times New Roman" w:cs="Times New Roman"/>
          <w:sz w:val="28"/>
          <w:szCs w:val="28"/>
        </w:rPr>
        <w:t>4</w:t>
      </w:r>
      <w:r w:rsidRPr="00F347DA">
        <w:rPr>
          <w:rFonts w:ascii="Times New Roman" w:hAnsi="Times New Roman" w:cs="Times New Roman"/>
          <w:sz w:val="28"/>
          <w:szCs w:val="28"/>
        </w:rPr>
        <w:t xml:space="preserve"> года) имеют звание «Ветеран труда». </w:t>
      </w:r>
    </w:p>
    <w:p w:rsidR="00FC54B3" w:rsidRPr="009A3BAD" w:rsidRDefault="00FC54B3" w:rsidP="00196085">
      <w:pPr>
        <w:pStyle w:val="a7"/>
        <w:widowControl w:val="0"/>
        <w:tabs>
          <w:tab w:val="left" w:pos="720"/>
          <w:tab w:val="left" w:pos="900"/>
        </w:tabs>
        <w:spacing w:after="0" w:line="276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BAD">
        <w:rPr>
          <w:rFonts w:ascii="Times New Roman" w:hAnsi="Times New Roman" w:cs="Times New Roman"/>
          <w:b/>
          <w:sz w:val="26"/>
          <w:szCs w:val="26"/>
        </w:rPr>
        <w:t>Ветераны, имеющие непосредственное отношение к ВОВ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725"/>
        <w:gridCol w:w="2977"/>
      </w:tblGrid>
      <w:tr w:rsidR="00FC54B3" w:rsidRPr="009A3BAD" w:rsidTr="00196085">
        <w:trPr>
          <w:trHeight w:val="29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B3" w:rsidRPr="009A3BAD" w:rsidRDefault="00FC54B3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39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B3" w:rsidRPr="009A3BAD" w:rsidRDefault="00FC54B3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b/>
                <w:sz w:val="26"/>
                <w:szCs w:val="26"/>
              </w:rPr>
              <w:t>на 01.01.202</w:t>
            </w:r>
            <w:r w:rsidR="009A3BAD" w:rsidRPr="009A3BAD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4B3" w:rsidRPr="009A3BAD" w:rsidRDefault="00FC54B3" w:rsidP="00196085">
            <w:pPr>
              <w:pStyle w:val="a7"/>
              <w:widowControl w:val="0"/>
              <w:tabs>
                <w:tab w:val="left" w:pos="68"/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b/>
                <w:sz w:val="26"/>
                <w:szCs w:val="26"/>
              </w:rPr>
              <w:t>на 01.01.202</w:t>
            </w:r>
            <w:r w:rsidR="009A3BAD" w:rsidRPr="009A3BA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9A3BAD" w:rsidRPr="009A3BAD" w:rsidTr="00196085">
        <w:trPr>
          <w:trHeight w:val="226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Участники ВОВ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A3BAD" w:rsidRPr="009A3BAD" w:rsidTr="00196085">
        <w:trPr>
          <w:trHeight w:val="81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Узники/блокадники Ленинграда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5/7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5/6</w:t>
            </w:r>
          </w:p>
        </w:tc>
      </w:tr>
      <w:tr w:rsidR="009A3BAD" w:rsidRPr="009A3BAD" w:rsidTr="00196085">
        <w:trPr>
          <w:trHeight w:val="15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Служили, не воевали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A3BAD" w:rsidRPr="009A3BAD" w:rsidTr="00196085">
        <w:trPr>
          <w:trHeight w:val="65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Труженик тыла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</w:p>
        </w:tc>
      </w:tr>
      <w:tr w:rsidR="009A3BAD" w:rsidRPr="009A3BAD" w:rsidTr="00196085">
        <w:trPr>
          <w:trHeight w:val="232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31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Вдовы УВОВ, ИВОВ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</w:tr>
      <w:tr w:rsidR="009A3BAD" w:rsidRPr="00CF6789" w:rsidTr="00196085">
        <w:trPr>
          <w:trHeight w:val="65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3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BAD" w:rsidRPr="009A3BAD" w:rsidRDefault="009A3BAD" w:rsidP="00196085">
            <w:pPr>
              <w:pStyle w:val="a7"/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hanging="28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3B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194</w:t>
            </w:r>
          </w:p>
        </w:tc>
      </w:tr>
    </w:tbl>
    <w:p w:rsidR="0047721D" w:rsidRPr="0011375B" w:rsidRDefault="0047721D" w:rsidP="00196085">
      <w:pPr>
        <w:pStyle w:val="31"/>
        <w:widowControl w:val="0"/>
        <w:tabs>
          <w:tab w:val="left" w:pos="-709"/>
        </w:tabs>
        <w:spacing w:before="240" w:after="0" w:line="276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75B">
        <w:rPr>
          <w:rFonts w:ascii="Times New Roman" w:hAnsi="Times New Roman" w:cs="Times New Roman"/>
          <w:iCs/>
          <w:sz w:val="28"/>
          <w:szCs w:val="28"/>
        </w:rPr>
        <w:t>В январе 2024 года, в честь 80-й годовщины снятия блокады Ленинграда, глава города Прокопьевска и депутаты городского Совета народных депутатов поздравили 7 жителей блокадного Ленинграда. Каждому из них был вручён Знак «Житель блокадного Ленинграда», денежная премия в размере 5000 рублей, поздравительная открытка и продуктовый набор.</w:t>
      </w:r>
    </w:p>
    <w:p w:rsidR="0047721D" w:rsidRPr="0011375B" w:rsidRDefault="0047721D" w:rsidP="0047721D">
      <w:pPr>
        <w:pStyle w:val="31"/>
        <w:widowControl w:val="0"/>
        <w:tabs>
          <w:tab w:val="left" w:pos="-7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75B">
        <w:rPr>
          <w:rFonts w:ascii="Times New Roman" w:hAnsi="Times New Roman" w:cs="Times New Roman"/>
          <w:iCs/>
          <w:sz w:val="28"/>
          <w:szCs w:val="28"/>
        </w:rPr>
        <w:t>В феврале 2024 года все ветераны войны были поздравлены с Днем защитника Отечества. Каждый получил поздравительную открытку от Губернатора Кузбасса. Кроме того, 6 участников Великой Отечественной войны получили продуктовые наборы от администрации города.</w:t>
      </w:r>
    </w:p>
    <w:p w:rsidR="0047721D" w:rsidRPr="0011375B" w:rsidRDefault="0047721D" w:rsidP="0047721D">
      <w:pPr>
        <w:pStyle w:val="31"/>
        <w:widowControl w:val="0"/>
        <w:tabs>
          <w:tab w:val="left" w:pos="-7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75B">
        <w:rPr>
          <w:rFonts w:ascii="Times New Roman" w:hAnsi="Times New Roman" w:cs="Times New Roman"/>
          <w:iCs/>
          <w:sz w:val="28"/>
          <w:szCs w:val="28"/>
        </w:rPr>
        <w:t xml:space="preserve">В рамках празднования 79-й годовщины Победы 242 ветеранам Великой Отечественной войны, в том числе вдовам участников Великой Отечественной войны (67 чел.) вручены поздравительные открытки от Губернатора Кузбасса и от главы города Прокопьевска. 6 участников Великой Отечественной войны, 5 малолетних узников фашистских концлагерей, 7 жителей блокадного Ленинграда, 2 военнослужащих, не принимавших участие в боевых действиях, 146 тружеников тыла, 67 вдов участников Великой Отечественной войны ко Дню Победы из областного бюджета получили материальное вознаграждение в размере 5000 руб. Кроме этого, 5 ветеранов были поздравлены секретарем </w:t>
      </w:r>
      <w:proofErr w:type="spellStart"/>
      <w:r w:rsidRPr="0011375B">
        <w:rPr>
          <w:rFonts w:ascii="Times New Roman" w:hAnsi="Times New Roman" w:cs="Times New Roman"/>
          <w:iCs/>
          <w:sz w:val="28"/>
          <w:szCs w:val="28"/>
        </w:rPr>
        <w:t>Прокопьевского</w:t>
      </w:r>
      <w:proofErr w:type="spellEnd"/>
      <w:r w:rsidRPr="0011375B">
        <w:rPr>
          <w:rFonts w:ascii="Times New Roman" w:hAnsi="Times New Roman" w:cs="Times New Roman"/>
          <w:iCs/>
          <w:sz w:val="28"/>
          <w:szCs w:val="28"/>
        </w:rPr>
        <w:t xml:space="preserve"> отделения партии «Единая Россия» - </w:t>
      </w:r>
      <w:proofErr w:type="spellStart"/>
      <w:r w:rsidRPr="0011375B">
        <w:rPr>
          <w:rFonts w:ascii="Times New Roman" w:hAnsi="Times New Roman" w:cs="Times New Roman"/>
          <w:iCs/>
          <w:sz w:val="28"/>
          <w:szCs w:val="28"/>
        </w:rPr>
        <w:t>Аннаевым</w:t>
      </w:r>
      <w:proofErr w:type="spellEnd"/>
      <w:r w:rsidR="00F26D40" w:rsidRPr="001137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375B">
        <w:rPr>
          <w:rFonts w:ascii="Times New Roman" w:hAnsi="Times New Roman" w:cs="Times New Roman"/>
          <w:iCs/>
          <w:sz w:val="28"/>
          <w:szCs w:val="28"/>
        </w:rPr>
        <w:t>Довраном</w:t>
      </w:r>
      <w:proofErr w:type="spellEnd"/>
      <w:r w:rsidR="00F26D40" w:rsidRPr="0011375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1375B">
        <w:rPr>
          <w:rFonts w:ascii="Times New Roman" w:hAnsi="Times New Roman" w:cs="Times New Roman"/>
          <w:iCs/>
          <w:sz w:val="28"/>
          <w:szCs w:val="28"/>
        </w:rPr>
        <w:t>Ханмедовичем</w:t>
      </w:r>
      <w:proofErr w:type="spellEnd"/>
      <w:r w:rsidRPr="0011375B">
        <w:rPr>
          <w:rFonts w:ascii="Times New Roman" w:hAnsi="Times New Roman" w:cs="Times New Roman"/>
          <w:iCs/>
          <w:sz w:val="28"/>
          <w:szCs w:val="28"/>
        </w:rPr>
        <w:t xml:space="preserve"> с вручением продуктового набора.</w:t>
      </w:r>
    </w:p>
    <w:p w:rsidR="001C1569" w:rsidRDefault="0047721D" w:rsidP="0047721D">
      <w:pPr>
        <w:pStyle w:val="31"/>
        <w:widowControl w:val="0"/>
        <w:tabs>
          <w:tab w:val="left" w:pos="-7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75B">
        <w:rPr>
          <w:rFonts w:ascii="Times New Roman" w:hAnsi="Times New Roman" w:cs="Times New Roman"/>
          <w:iCs/>
          <w:sz w:val="28"/>
          <w:szCs w:val="28"/>
        </w:rPr>
        <w:t>Ежегодно администрация города поздравляет участников и инвалидов Великой Отечественной войны с Новым годом. В 2024 году поздравили 4 человека (в 2023 году — 6 чел</w:t>
      </w:r>
      <w:r w:rsidR="00231BFE" w:rsidRPr="0011375B">
        <w:rPr>
          <w:rFonts w:ascii="Times New Roman" w:hAnsi="Times New Roman" w:cs="Times New Roman"/>
          <w:iCs/>
          <w:sz w:val="28"/>
          <w:szCs w:val="28"/>
        </w:rPr>
        <w:t>овек</w:t>
      </w:r>
      <w:r w:rsidRPr="0011375B">
        <w:rPr>
          <w:rFonts w:ascii="Times New Roman" w:hAnsi="Times New Roman" w:cs="Times New Roman"/>
          <w:iCs/>
          <w:sz w:val="28"/>
          <w:szCs w:val="28"/>
        </w:rPr>
        <w:t xml:space="preserve">). Каждому ветерану был вручен продуктовый набор от </w:t>
      </w:r>
      <w:r w:rsidR="001C1569" w:rsidRPr="0011375B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1C1569">
        <w:rPr>
          <w:rFonts w:ascii="Times New Roman" w:hAnsi="Times New Roman" w:cs="Times New Roman"/>
          <w:iCs/>
          <w:sz w:val="28"/>
          <w:szCs w:val="28"/>
        </w:rPr>
        <w:t>.</w:t>
      </w:r>
    </w:p>
    <w:p w:rsidR="0047721D" w:rsidRPr="0011375B" w:rsidRDefault="001C1569" w:rsidP="0047721D">
      <w:pPr>
        <w:pStyle w:val="31"/>
        <w:widowControl w:val="0"/>
        <w:tabs>
          <w:tab w:val="left" w:pos="-7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75B">
        <w:rPr>
          <w:rFonts w:ascii="Times New Roman" w:hAnsi="Times New Roman" w:cs="Times New Roman"/>
          <w:iCs/>
          <w:sz w:val="28"/>
          <w:szCs w:val="28"/>
        </w:rPr>
        <w:t>Оказываются</w:t>
      </w:r>
      <w:r w:rsidR="0047721D" w:rsidRPr="0011375B">
        <w:rPr>
          <w:rFonts w:ascii="Times New Roman" w:hAnsi="Times New Roman" w:cs="Times New Roman"/>
          <w:iCs/>
          <w:sz w:val="28"/>
          <w:szCs w:val="28"/>
        </w:rPr>
        <w:t xml:space="preserve"> особые знаки внимания гражданам, отмечающим 90, 95, 100, 105 и 110 лет со дня рождения. Долгожители (90,95 лет) получают единовременную адресную помощь в размере 5000 руб. из областного бюджета. При исполнении 100, 105 и 110 лет, юбиляру выделяется единовременное вознаграждение из областного бюджета 25000 руб., из городского бюджета – 10000 руб. </w:t>
      </w:r>
    </w:p>
    <w:p w:rsidR="0047721D" w:rsidRPr="0011375B" w:rsidRDefault="0047721D" w:rsidP="0047721D">
      <w:pPr>
        <w:pStyle w:val="31"/>
        <w:widowControl w:val="0"/>
        <w:tabs>
          <w:tab w:val="left" w:pos="-7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75B">
        <w:rPr>
          <w:rFonts w:ascii="Times New Roman" w:hAnsi="Times New Roman" w:cs="Times New Roman"/>
          <w:iCs/>
          <w:sz w:val="28"/>
          <w:szCs w:val="28"/>
        </w:rPr>
        <w:t xml:space="preserve">Всего за 2024 год поздравления получили 247 ветеранов-долгожителей (за 2023 год - 225 ветеранов-долгожителей). </w:t>
      </w:r>
    </w:p>
    <w:p w:rsidR="0047721D" w:rsidRPr="0011375B" w:rsidRDefault="0047721D" w:rsidP="0047721D">
      <w:pPr>
        <w:pStyle w:val="31"/>
        <w:widowControl w:val="0"/>
        <w:tabs>
          <w:tab w:val="left" w:pos="-709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375B">
        <w:rPr>
          <w:rFonts w:ascii="Times New Roman" w:hAnsi="Times New Roman" w:cs="Times New Roman"/>
          <w:iCs/>
          <w:sz w:val="28"/>
          <w:szCs w:val="28"/>
        </w:rPr>
        <w:t>В городе проживают 17220 инвалидов (16850 – на 01.01.2024 года) и 1004 детей-инвалидов (1011 – на 01.01.2024 года).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МБУ «Центр социального обслуживания населения» выполняет организационную и практическую деятельность по оказанию социальной помощи гражданам пожилого возраста, лицам с ограниченными возможностями и другим группам населения, нуждающимся в социальной поддержке, согласно муниципальному заданию, по двум формам социального обслуживания: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1. Социальное обслуживание в форме на дому. В соответствии с муниципальным заданием в 2024 оказали услуги 3675 получателям услуг, за 2023 год услуги были предоставлены 3675 чел. За 2024 г. оказано 2,36 млн. услуг (2023г. – 2,36 млн. услуг).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2. Предоставление социального обслуживания в полустационарной форме. </w:t>
      </w:r>
      <w:r w:rsidR="001C156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1375B">
        <w:rPr>
          <w:rFonts w:ascii="Times New Roman" w:hAnsi="Times New Roman" w:cs="Times New Roman"/>
          <w:sz w:val="28"/>
          <w:szCs w:val="28"/>
        </w:rPr>
        <w:t>За 2024г. 5744 чел. (без учета повторов) оказано 93920 услуг (2023г. - 5882 чел., оказано 100564 услуг).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Одно из важных направлений в работе службы срочного социального обслуживания – обследование материальных и жилищно-бытовых условий проживания граждан. 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За 2024 год специалистами отделения срочного социального обслуживания проведено 331 обследование граждан, обратившихся за помощью с составлением подробного акта жилищно-бытовых условий (за 2023г. – 283 обследования).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При МБУ «ЦСОН» продолжают работу пункты проката, обмена и взаимопомощи (ул. Луначарского,10, ул. Ноградская,10). В 2024 г. 314 чел. сдали в пункты 8074 единицы вещей, хозяйственных товаров и прочего, получили помощь 432 чел. в объеме 7351 единица (в 2023 г. 279 чел. сдали 8162 единицы).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В рамках проведения областной акции по обеспечению благотворительным топливом отдельных категорий граждан, доставлен благотворительный уголь для 639 чел. (в 2023 году - 494 чел.).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В рамках проведения областной акции по доставке овощных наборов в 2024 году 683 нуждающимся жителям был доставлен на дом овощной набор, весом 80 кг </w:t>
      </w:r>
      <w:r w:rsidR="006B1015" w:rsidRPr="0011375B">
        <w:rPr>
          <w:rFonts w:ascii="Times New Roman" w:hAnsi="Times New Roman" w:cs="Times New Roman"/>
          <w:sz w:val="28"/>
          <w:szCs w:val="28"/>
        </w:rPr>
        <w:t>(в</w:t>
      </w:r>
      <w:r w:rsidRPr="0011375B">
        <w:rPr>
          <w:rFonts w:ascii="Times New Roman" w:hAnsi="Times New Roman" w:cs="Times New Roman"/>
          <w:sz w:val="28"/>
          <w:szCs w:val="28"/>
        </w:rPr>
        <w:t xml:space="preserve"> 2023 году - 591 набор). 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В целях поддержки семей участников специальной военной операции, учреждение приобрело и доставило дрова по 375 адресам за счет средств местного бюджета.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Среди инвалидов и долгожителей востребована услуга «Социальное такси», в 2024 году ею воспользовались 163 чел., в том числе – 14 чел. благотворительно, (в 2023 году воспользовались 225 чел., в том числе - 57 чел. благотворительно). 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В 2024 году в отделение социальной адаптации населения обратились 267 человек, среди которых освобожденные из мест лишения свободы и лица без определенного места жительства. Всем обратившимся была предоставлена консультативная помощь, а 184 человека получили помощь в натуральной форме. В соответствии с методикой социального сопровождения было обследовано 122 адреса.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Одно из направлений деятельности Центра – отделение дневного пребывания «</w:t>
      </w:r>
      <w:proofErr w:type="spellStart"/>
      <w:r w:rsidRPr="0011375B">
        <w:rPr>
          <w:rFonts w:ascii="Times New Roman" w:hAnsi="Times New Roman" w:cs="Times New Roman"/>
          <w:sz w:val="28"/>
          <w:szCs w:val="28"/>
        </w:rPr>
        <w:t>Вдохновление</w:t>
      </w:r>
      <w:proofErr w:type="spellEnd"/>
      <w:r w:rsidRPr="0011375B">
        <w:rPr>
          <w:rFonts w:ascii="Times New Roman" w:hAnsi="Times New Roman" w:cs="Times New Roman"/>
          <w:sz w:val="28"/>
          <w:szCs w:val="28"/>
        </w:rPr>
        <w:t>». В 2024 году 142 чел. (без учета повторов) получили социальные услуги в ОДП «</w:t>
      </w:r>
      <w:r w:rsidR="006B1015" w:rsidRPr="0011375B">
        <w:rPr>
          <w:rFonts w:ascii="Times New Roman" w:hAnsi="Times New Roman" w:cs="Times New Roman"/>
          <w:sz w:val="28"/>
          <w:szCs w:val="28"/>
        </w:rPr>
        <w:t>Вдохновение» (</w:t>
      </w:r>
      <w:r w:rsidRPr="0011375B">
        <w:rPr>
          <w:rFonts w:ascii="Times New Roman" w:hAnsi="Times New Roman" w:cs="Times New Roman"/>
          <w:sz w:val="28"/>
          <w:szCs w:val="28"/>
        </w:rPr>
        <w:t>2023 году - 176 чел.). В отделении сформированы специализированные группы для граждан с когнитивными нарушениями и ограничениями мобильности. Для их комфортного посещения Центра организована доставка на специализированном транспорте. В 2024 году из общего числа получателей услуг ОДП «Вдохновение» было доставлено 56 человек, в то время как в 2023 году – 54 человека.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 «Старшее поколение» по созданию системы долговременного ухода за гражданами пожилого возраста и инвалидами в МБУ «Центр социального обслуживания населения» была создана и работает служба сиделок в количестве 27 штатных </w:t>
      </w:r>
      <w:r w:rsidR="006B1015" w:rsidRPr="0011375B">
        <w:rPr>
          <w:rFonts w:ascii="Times New Roman" w:hAnsi="Times New Roman" w:cs="Times New Roman"/>
          <w:sz w:val="28"/>
          <w:szCs w:val="28"/>
        </w:rPr>
        <w:t>единиц</w:t>
      </w:r>
      <w:r w:rsidRPr="001137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Ежедневно сиделки предоставляют услуги 79 получателям социальных услуг. Предоставление социальных услуг, входящих в социальный пакет долговременного ухода, осуществляется на бесплатной основе.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Продолжает работу «Школа ухода», деятельность которой направлена на информирование, консультирование и обучение лиц, осуществляющих уход за людьми с выраженным снижением способности к самообслуживанию, необходимым навыкам качественного ухода. За 2024 год проведено 814 консультаций, в том числе для родственников – 17 чел., для опекунов -54 чел., для социальных работников — 24 чел., для получателей социальных услуг — 72 чел. (за 2023 год - 813 консультаций, в том числе для родственников -34 чел., для опекунов - 49 чел.).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Работает пункт проката технических средств реабилитации (ТСР). Использование вспомогательных средств реабилитации облегчает процесс ухода помощникам по уходу и родственникам за получателями социальных услуг. 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Граждане, обратившиеся в пункт проката, получают консультацию и наглядную демонстрацию правильного пользования и подбора ТСР. За 2024 год услугами пункта проката воспользовались 178 человек, было </w:t>
      </w:r>
      <w:r w:rsidR="006B1015" w:rsidRPr="0011375B">
        <w:rPr>
          <w:rFonts w:ascii="Times New Roman" w:hAnsi="Times New Roman" w:cs="Times New Roman"/>
          <w:sz w:val="28"/>
          <w:szCs w:val="28"/>
        </w:rPr>
        <w:t>выдано 539</w:t>
      </w:r>
      <w:r w:rsidRPr="0011375B">
        <w:rPr>
          <w:rFonts w:ascii="Times New Roman" w:hAnsi="Times New Roman" w:cs="Times New Roman"/>
          <w:sz w:val="28"/>
          <w:szCs w:val="28"/>
        </w:rPr>
        <w:t xml:space="preserve"> ТСР (с учетом выданных повторно). За 2023 год услугами проката воспользовались -230 чел., выдано 770 ТСР.</w:t>
      </w:r>
    </w:p>
    <w:p w:rsidR="0047721D" w:rsidRPr="0011375B" w:rsidRDefault="0047721D" w:rsidP="001C156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Всего на балансе состоит 517 единиц средств реабилитации. </w:t>
      </w:r>
    </w:p>
    <w:p w:rsidR="00B16106" w:rsidRPr="0011375B" w:rsidRDefault="00B16106" w:rsidP="00196085">
      <w:pPr>
        <w:widowControl w:val="0"/>
        <w:spacing w:before="240" w:after="0"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1375B">
        <w:rPr>
          <w:rFonts w:ascii="Times New Roman" w:hAnsi="Times New Roman" w:cs="Times New Roman"/>
          <w:b/>
          <w:sz w:val="28"/>
          <w:szCs w:val="28"/>
        </w:rPr>
        <w:t>Вопросы материнства и детства</w:t>
      </w:r>
    </w:p>
    <w:p w:rsidR="00B16106" w:rsidRPr="0011375B" w:rsidRDefault="00B16106" w:rsidP="00B16106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В городе в сфере социальной защиты семьям с детьми предоставляют услуги МКУ «Социально-реабилитационный центр для несовершеннолетних «Алиса» 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На 01.01.2025 г. в городе проживает 2485 многодетных семей.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С 2011 года Комитет социальной защиты населения реализует Закон Кемеровской области №51-ОЗ «О дополнительных мерах социальной поддержки семей, имеющих детей» и распространяется на правоотношения, возникшие в связи с рождением (усыновлением) третьего или последующего ребенка (детей) в период с 1 января 2011 года по 31 декабря 2024 года. Право на дополнительную меру социальной поддержки, может быть реализовано до 31 декабря 2027г., а право на указанную меру, возникшее в связи с рождением (усыновлением) ребенка (детей) в период с 01.01.2024года по 31.12.2024 года, может быть реализовано до 31 декабря 2028 года. Размер регионального материнского капитала составляет 130 000 рублей.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В 2024 году средствами областного материнского капитала воспользовались 107 семей на сумму 11052,7 тыс. руб., в 2023 году</w:t>
      </w:r>
      <w:r w:rsidR="001C1569">
        <w:rPr>
          <w:rFonts w:ascii="Times New Roman" w:hAnsi="Times New Roman" w:cs="Times New Roman"/>
          <w:sz w:val="28"/>
          <w:szCs w:val="28"/>
        </w:rPr>
        <w:t xml:space="preserve"> -</w:t>
      </w:r>
      <w:r w:rsidRPr="0011375B">
        <w:rPr>
          <w:rFonts w:ascii="Times New Roman" w:hAnsi="Times New Roman" w:cs="Times New Roman"/>
          <w:sz w:val="28"/>
          <w:szCs w:val="28"/>
        </w:rPr>
        <w:t xml:space="preserve"> 141 семья на сумму 15811, 86 тыс. руб. 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За 13 лет средствами областного материнского капитала воспользовались 1381 </w:t>
      </w:r>
      <w:proofErr w:type="spellStart"/>
      <w:r w:rsidRPr="0011375B">
        <w:rPr>
          <w:rFonts w:ascii="Times New Roman" w:hAnsi="Times New Roman" w:cs="Times New Roman"/>
          <w:sz w:val="28"/>
          <w:szCs w:val="28"/>
        </w:rPr>
        <w:t>прокопьевск</w:t>
      </w:r>
      <w:r w:rsidR="004A2033" w:rsidRPr="0011375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1375B">
        <w:rPr>
          <w:rFonts w:ascii="Times New Roman" w:hAnsi="Times New Roman" w:cs="Times New Roman"/>
          <w:sz w:val="28"/>
          <w:szCs w:val="28"/>
        </w:rPr>
        <w:t xml:space="preserve"> сем</w:t>
      </w:r>
      <w:r w:rsidR="004A2033" w:rsidRPr="0011375B">
        <w:rPr>
          <w:rFonts w:ascii="Times New Roman" w:hAnsi="Times New Roman" w:cs="Times New Roman"/>
          <w:sz w:val="28"/>
          <w:szCs w:val="28"/>
        </w:rPr>
        <w:t>ья</w:t>
      </w:r>
      <w:r w:rsidRPr="0011375B">
        <w:rPr>
          <w:rFonts w:ascii="Times New Roman" w:hAnsi="Times New Roman" w:cs="Times New Roman"/>
          <w:sz w:val="28"/>
          <w:szCs w:val="28"/>
        </w:rPr>
        <w:t>, на сумму более 168 млн. руб.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С 2023 года Комитет социальной защиты населения реализует Закон Кемеровской области-Кузбасса от 05.10.2022 № 109-ОЗ «О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газа». Право на данную меру социальной поддержки имеют: многодетные семьи, семьи, имеющие ребенка-инвалида, семьи участников СВО, семьи с ребенком (детьми), имеющие среднедушевой доход семьи ниже величины прожиточного минимума в расчете на душу населения, установленной Правительством Кемеровской области-Кузбасса на дату обращения за предоставлением меры социальной поддержки. 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В 2024 году в рамках данного закона автономными дымовыми пожарными извещателями (далее - АДПИ) оснащены жилые помещения 357 семей, из них 87 семей проживают в частном секторе, им установлены датчики угарного газа (далее - ДУГ). В 2023 году установкой АДПИ охвачено 776 семей, из них - 297 семьям проживающим в частном секторе установлены </w:t>
      </w:r>
      <w:proofErr w:type="spellStart"/>
      <w:r w:rsidRPr="0011375B">
        <w:rPr>
          <w:rFonts w:ascii="Times New Roman" w:hAnsi="Times New Roman" w:cs="Times New Roman"/>
          <w:sz w:val="28"/>
          <w:szCs w:val="28"/>
        </w:rPr>
        <w:t>ДУГи</w:t>
      </w:r>
      <w:proofErr w:type="spellEnd"/>
      <w:r w:rsidRPr="0011375B">
        <w:rPr>
          <w:rFonts w:ascii="Times New Roman" w:hAnsi="Times New Roman" w:cs="Times New Roman"/>
          <w:sz w:val="28"/>
          <w:szCs w:val="28"/>
        </w:rPr>
        <w:t>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Работа в рамках реализации предоставления государственной социальной помощи в виде денежной выплаты на основании социального контракта проводится с социально незащищенными категориями населения, среднедушевой доход которых составляет ниже прожиточного минимума (семьи с детьми, одиноко проживающие граждане, семьи с ребенком инвалидом, граждане, нуждающиеся  в работе).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В 2024 году заключено 283 социальных контракта на сумму 94507,11 тыс. </w:t>
      </w:r>
      <w:r w:rsidR="006B1015" w:rsidRPr="0011375B">
        <w:rPr>
          <w:rFonts w:ascii="Times New Roman" w:hAnsi="Times New Roman" w:cs="Times New Roman"/>
          <w:sz w:val="28"/>
          <w:szCs w:val="28"/>
        </w:rPr>
        <w:t>руб.,</w:t>
      </w:r>
      <w:r w:rsidRPr="0011375B">
        <w:rPr>
          <w:rFonts w:ascii="Times New Roman" w:hAnsi="Times New Roman" w:cs="Times New Roman"/>
          <w:sz w:val="28"/>
          <w:szCs w:val="28"/>
        </w:rPr>
        <w:t xml:space="preserve"> из них по мероприятиям: 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- «поиск работы» – 76 человек;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- осуществление индивидуальной предпринимательской деятельности (самозанятости</w:t>
      </w:r>
      <w:r w:rsidR="006B1015" w:rsidRPr="0011375B">
        <w:rPr>
          <w:rFonts w:ascii="Times New Roman" w:hAnsi="Times New Roman" w:cs="Times New Roman"/>
          <w:sz w:val="28"/>
          <w:szCs w:val="28"/>
        </w:rPr>
        <w:t>)» –</w:t>
      </w:r>
      <w:r w:rsidRPr="0011375B">
        <w:rPr>
          <w:rFonts w:ascii="Times New Roman" w:hAnsi="Times New Roman" w:cs="Times New Roman"/>
          <w:sz w:val="28"/>
          <w:szCs w:val="28"/>
        </w:rPr>
        <w:t xml:space="preserve"> 127 граждан;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- «ведение личного подсобного хозяйства» – 3 человека;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- «осуществление иных мероприятий, направленных на преодоление трудной жизненной ситуации» – 65 граждан.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В 2023 году заключено 498 социальных </w:t>
      </w:r>
      <w:r w:rsidR="006B1015" w:rsidRPr="0011375B">
        <w:rPr>
          <w:rFonts w:ascii="Times New Roman" w:hAnsi="Times New Roman" w:cs="Times New Roman"/>
          <w:sz w:val="28"/>
          <w:szCs w:val="28"/>
        </w:rPr>
        <w:t>контрактов на</w:t>
      </w:r>
      <w:r w:rsidRPr="0011375B">
        <w:rPr>
          <w:rFonts w:ascii="Times New Roman" w:hAnsi="Times New Roman" w:cs="Times New Roman"/>
          <w:sz w:val="28"/>
          <w:szCs w:val="28"/>
        </w:rPr>
        <w:t xml:space="preserve"> сумму 94507,11 тыс. руб. 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В городе в сфере социальной защиты семьям с детьми предоставляют услуги МКУ «Социально-реабилитационный центр для несовершеннолетних «Алиса» (далее — МКУ «СРЦН «Алиса»).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Общая численность получателей социальных услуг в 2024 году составила 2553 человека. В 2023 году - 2112 человек. На основе договоров и разработанных индивидуальных программ социальные услуги получили 1980 человек. В 2023 году — 1345 человек.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МКУ «Центр организации социального обслуживания города Прокопьевска» - осуществляет деятельность с 01.01.2024 года по направлениям:</w:t>
      </w:r>
    </w:p>
    <w:p w:rsidR="0047721D" w:rsidRPr="0011375B" w:rsidRDefault="004A2033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- </w:t>
      </w:r>
      <w:r w:rsidR="0047721D" w:rsidRPr="0011375B">
        <w:rPr>
          <w:rFonts w:ascii="Times New Roman" w:hAnsi="Times New Roman" w:cs="Times New Roman"/>
          <w:sz w:val="28"/>
          <w:szCs w:val="28"/>
        </w:rPr>
        <w:t>выявление граждан, нуждающихся в уходе;</w:t>
      </w:r>
    </w:p>
    <w:p w:rsidR="0047721D" w:rsidRPr="0011375B" w:rsidRDefault="004A2033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- </w:t>
      </w:r>
      <w:r w:rsidR="0047721D" w:rsidRPr="0011375B">
        <w:rPr>
          <w:rFonts w:ascii="Times New Roman" w:hAnsi="Times New Roman" w:cs="Times New Roman"/>
          <w:sz w:val="28"/>
          <w:szCs w:val="28"/>
        </w:rPr>
        <w:t>определение индивидуальной потребности граждан в социальном обслуживании, в том числе в социальных услугах по уходу, включая установление уровня нуждаемости в уходе, группу ухода;</w:t>
      </w:r>
    </w:p>
    <w:p w:rsidR="0047721D" w:rsidRPr="0011375B" w:rsidRDefault="004A2033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- </w:t>
      </w:r>
      <w:r w:rsidR="0047721D" w:rsidRPr="0011375B">
        <w:rPr>
          <w:rFonts w:ascii="Times New Roman" w:hAnsi="Times New Roman" w:cs="Times New Roman"/>
          <w:sz w:val="28"/>
          <w:szCs w:val="28"/>
        </w:rPr>
        <w:t>принятие решения о признании граждан нуждающимися в социальном обслуживании, в том числе в социальных услугах по уходу или об отказе гражданам в социальном обслуживании;</w:t>
      </w:r>
    </w:p>
    <w:p w:rsidR="0047721D" w:rsidRPr="0011375B" w:rsidRDefault="004A2033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- </w:t>
      </w:r>
      <w:r w:rsidR="0047721D" w:rsidRPr="0011375B">
        <w:rPr>
          <w:rFonts w:ascii="Times New Roman" w:hAnsi="Times New Roman" w:cs="Times New Roman"/>
          <w:sz w:val="28"/>
          <w:szCs w:val="28"/>
        </w:rPr>
        <w:t xml:space="preserve">подготовка и утверждение индивидуальной программы предоставления социальных услуг и дополнения к </w:t>
      </w:r>
      <w:r w:rsidR="001C1569">
        <w:rPr>
          <w:rFonts w:ascii="Times New Roman" w:hAnsi="Times New Roman" w:cs="Times New Roman"/>
          <w:sz w:val="28"/>
          <w:szCs w:val="28"/>
        </w:rPr>
        <w:t>ней</w:t>
      </w:r>
      <w:r w:rsidR="0047721D" w:rsidRPr="0011375B">
        <w:rPr>
          <w:rFonts w:ascii="Times New Roman" w:hAnsi="Times New Roman" w:cs="Times New Roman"/>
          <w:sz w:val="28"/>
          <w:szCs w:val="28"/>
        </w:rPr>
        <w:t>, пересмотр индивидуальных программ предоставления социальных услуг;</w:t>
      </w:r>
    </w:p>
    <w:p w:rsidR="0047721D" w:rsidRPr="0011375B" w:rsidRDefault="004A2033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- </w:t>
      </w:r>
      <w:r w:rsidR="0047721D" w:rsidRPr="0011375B">
        <w:rPr>
          <w:rFonts w:ascii="Times New Roman" w:hAnsi="Times New Roman" w:cs="Times New Roman"/>
          <w:sz w:val="28"/>
          <w:szCs w:val="28"/>
        </w:rPr>
        <w:t>передача поставщикам социальных услуг утвержденной индивидуальной программы предоставления социальных услуг и дополнений к индивидуальной программе предоставления социальных услуг.</w:t>
      </w:r>
    </w:p>
    <w:p w:rsidR="0047721D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За 2024 год специалистами Центра было признано нуждающимися в социальном обслуживании 2535 граждан.</w:t>
      </w:r>
    </w:p>
    <w:p w:rsidR="003A6F06" w:rsidRPr="0011375B" w:rsidRDefault="0047721D" w:rsidP="0047721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1375B">
        <w:rPr>
          <w:rFonts w:ascii="Times New Roman" w:hAnsi="Times New Roman" w:cs="Times New Roman"/>
          <w:sz w:val="28"/>
          <w:szCs w:val="28"/>
        </w:rPr>
        <w:t>Специалистами учреждений социальной защиты населения большое значение уделяется информированию граждан о деятельности организаций социального обслуживания. Активно используются средства массовой информации, информационные стенды, официальные сайты и социальные сети учреждений.</w:t>
      </w:r>
    </w:p>
    <w:p w:rsidR="00EB4A11" w:rsidRPr="00865A50" w:rsidRDefault="00EB4A11" w:rsidP="001C1569">
      <w:pPr>
        <w:widowControl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C54B3" w:rsidRPr="0011375B" w:rsidRDefault="00FC54B3" w:rsidP="007128FC">
      <w:pPr>
        <w:widowControl w:val="0"/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75B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bookmarkStart w:id="6" w:name="_Hlk103775642"/>
    </w:p>
    <w:bookmarkEnd w:id="6"/>
    <w:p w:rsidR="00D40F15" w:rsidRPr="0011375B" w:rsidRDefault="00D40F15" w:rsidP="001C156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375B">
        <w:rPr>
          <w:rFonts w:ascii="Times New Roman" w:hAnsi="Times New Roman" w:cs="Times New Roman"/>
          <w:color w:val="000000"/>
          <w:sz w:val="28"/>
          <w:szCs w:val="28"/>
        </w:rPr>
        <w:t xml:space="preserve">В сфере образования действует </w:t>
      </w:r>
      <w:r w:rsidRPr="0011375B">
        <w:rPr>
          <w:rFonts w:ascii="Times New Roman" w:hAnsi="Times New Roman" w:cs="Times New Roman"/>
          <w:sz w:val="28"/>
          <w:szCs w:val="28"/>
        </w:rPr>
        <w:t>муниципальная программа «Развитие системы образования города Прокопьевска»</w:t>
      </w:r>
      <w:r w:rsidRPr="0011375B">
        <w:rPr>
          <w:rFonts w:ascii="Times New Roman" w:hAnsi="Times New Roman" w:cs="Times New Roman"/>
          <w:color w:val="000000"/>
          <w:sz w:val="28"/>
          <w:szCs w:val="28"/>
        </w:rPr>
        <w:t>, на основании которой организована деятельность образовательных учреждений.</w:t>
      </w:r>
    </w:p>
    <w:p w:rsidR="00D40F15" w:rsidRPr="0011375B" w:rsidRDefault="00D40F15" w:rsidP="00865A5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 xml:space="preserve">В 2024г. количество детских садов увеличилось на два: </w:t>
      </w:r>
    </w:p>
    <w:p w:rsidR="00D40F15" w:rsidRPr="0011375B" w:rsidRDefault="00D40F15" w:rsidP="001C156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1375B">
        <w:rPr>
          <w:rFonts w:ascii="Times New Roman" w:hAnsi="Times New Roman"/>
          <w:bCs/>
          <w:sz w:val="28"/>
          <w:szCs w:val="28"/>
        </w:rPr>
        <w:t xml:space="preserve"> </w:t>
      </w:r>
      <w:r w:rsidRPr="0011375B">
        <w:rPr>
          <w:rFonts w:ascii="Times New Roman" w:hAnsi="Times New Roman"/>
          <w:sz w:val="28"/>
          <w:szCs w:val="28"/>
        </w:rPr>
        <w:t>- с 03.06.2024 согласно распоряжению администрации города Прокопьевска от 15.09.2023 № 1099-р "О создании муниципального автономного дошкольного образовательного учреждения «Детский сад № 7 "</w:t>
      </w:r>
      <w:proofErr w:type="spellStart"/>
      <w:r w:rsidRPr="0011375B">
        <w:rPr>
          <w:rFonts w:ascii="Times New Roman" w:hAnsi="Times New Roman"/>
          <w:sz w:val="28"/>
          <w:szCs w:val="28"/>
        </w:rPr>
        <w:t>Космонавтик</w:t>
      </w:r>
      <w:proofErr w:type="spellEnd"/>
      <w:r w:rsidRPr="0011375B">
        <w:rPr>
          <w:rFonts w:ascii="Times New Roman" w:hAnsi="Times New Roman"/>
          <w:sz w:val="28"/>
          <w:szCs w:val="28"/>
        </w:rPr>
        <w:t xml:space="preserve">"" на 190 мест, по адресу: </w:t>
      </w:r>
      <w:proofErr w:type="spellStart"/>
      <w:r w:rsidRPr="0011375B">
        <w:rPr>
          <w:rFonts w:ascii="Times New Roman" w:hAnsi="Times New Roman"/>
          <w:sz w:val="28"/>
          <w:szCs w:val="28"/>
        </w:rPr>
        <w:t>ул.Институтская</w:t>
      </w:r>
      <w:proofErr w:type="spellEnd"/>
      <w:r w:rsidRPr="0011375B">
        <w:rPr>
          <w:rFonts w:ascii="Times New Roman" w:hAnsi="Times New Roman"/>
          <w:sz w:val="28"/>
          <w:szCs w:val="28"/>
        </w:rPr>
        <w:t>, 43;</w:t>
      </w:r>
    </w:p>
    <w:p w:rsidR="00D40F15" w:rsidRPr="0011375B" w:rsidRDefault="00D40F15" w:rsidP="001C156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1375B">
        <w:rPr>
          <w:rFonts w:ascii="Times New Roman" w:hAnsi="Times New Roman"/>
          <w:sz w:val="28"/>
          <w:szCs w:val="28"/>
        </w:rPr>
        <w:t xml:space="preserve">- с 15.08.2024 согласно распоряжению администрации города Прокопьевска от 15.09.2023 № 1100-р "О создании муниципального автономного дошкольного образовательного учреждения «Детский сад № 6 "Подсолнушек"" на 130 мест, по адресу: </w:t>
      </w:r>
      <w:proofErr w:type="spellStart"/>
      <w:r w:rsidRPr="0011375B">
        <w:rPr>
          <w:rFonts w:ascii="Times New Roman" w:hAnsi="Times New Roman"/>
          <w:sz w:val="28"/>
          <w:szCs w:val="28"/>
        </w:rPr>
        <w:t>ул.Гайдара</w:t>
      </w:r>
      <w:proofErr w:type="spellEnd"/>
      <w:r w:rsidRPr="0011375B">
        <w:rPr>
          <w:rFonts w:ascii="Times New Roman" w:hAnsi="Times New Roman"/>
          <w:sz w:val="28"/>
          <w:szCs w:val="28"/>
        </w:rPr>
        <w:t>, 8.</w:t>
      </w:r>
    </w:p>
    <w:p w:rsidR="00D40F15" w:rsidRPr="0011375B" w:rsidRDefault="00D40F15" w:rsidP="001C156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Педагоги города Прокопьевска победители и лауреаты конкурсов профессионального мастерства регионального и всероссийского уровней: «Сердце отдаю детям», «Педагог - психолог», «Воспитатель года России».</w:t>
      </w:r>
    </w:p>
    <w:p w:rsidR="00D40F15" w:rsidRPr="0011375B" w:rsidRDefault="00D40F15" w:rsidP="00D40F15">
      <w:pPr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>Педагогические работники нашего города достойно представили свои учреждения на Чемпионате России «Лучший работник организации».</w:t>
      </w:r>
      <w:r w:rsidR="0011375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11375B">
        <w:rPr>
          <w:rFonts w:ascii="Times New Roman" w:hAnsi="Times New Roman" w:cs="Times New Roman"/>
          <w:bCs/>
          <w:sz w:val="28"/>
          <w:szCs w:val="28"/>
        </w:rPr>
        <w:t xml:space="preserve"> Во Всероссийских конкурсах педагогических работников по работе с детьми ОВЗ «Лучшие практики наставничества», </w:t>
      </w: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«Делай, как я!», Всероссийском конкурсе на лучшую организацию работы педагогов и образовательных организаций с родительским сообществом по сохранению историко-культурной среды, языков народов Российской Федерации, во Всероссийском заочном конкурсе «Воспитатели России», «Лучшие няни». В </w:t>
      </w:r>
      <w:r w:rsidRPr="0011375B">
        <w:rPr>
          <w:rFonts w:ascii="Times New Roman" w:hAnsi="Times New Roman" w:cs="Times New Roman"/>
          <w:bCs/>
          <w:sz w:val="28"/>
          <w:szCs w:val="28"/>
        </w:rPr>
        <w:t xml:space="preserve">региональном конкурсе </w:t>
      </w: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«Лучшая методическая разработка по финансовой грамотности для дошкольного образования».</w:t>
      </w:r>
    </w:p>
    <w:p w:rsidR="00D40F15" w:rsidRPr="0011375B" w:rsidRDefault="00D40F15" w:rsidP="007128FC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375B">
        <w:rPr>
          <w:rFonts w:ascii="Times New Roman" w:hAnsi="Times New Roman" w:cs="Times New Roman"/>
          <w:b/>
          <w:bCs/>
          <w:sz w:val="28"/>
          <w:szCs w:val="28"/>
        </w:rPr>
        <w:t>Дошкольное образование.</w:t>
      </w:r>
    </w:p>
    <w:p w:rsidR="00D40F15" w:rsidRPr="0011375B" w:rsidRDefault="00D40F15" w:rsidP="001C156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В дошкольной образовательной системе города работают 1 552 чел., в том числе 638 педагогических работников.</w:t>
      </w:r>
    </w:p>
    <w:p w:rsidR="00D40F15" w:rsidRPr="0011375B" w:rsidRDefault="00D40F15" w:rsidP="001C1569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11375B">
        <w:rPr>
          <w:rFonts w:ascii="Times New Roman" w:hAnsi="Times New Roman" w:cs="Times New Roman"/>
          <w:i/>
          <w:sz w:val="28"/>
          <w:szCs w:val="28"/>
        </w:rPr>
        <w:t>Достижения дошкольных образовательных организаций за 2024г.:</w:t>
      </w:r>
    </w:p>
    <w:p w:rsidR="00D40F15" w:rsidRPr="0011375B" w:rsidRDefault="00D40F15" w:rsidP="001C1569">
      <w:pPr>
        <w:pStyle w:val="ab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- Детский сад № 5 вошел в число «100 лучших образовательных организаций РФ-2024»,</w:t>
      </w:r>
    </w:p>
    <w:p w:rsidR="00D40F15" w:rsidRPr="0011375B" w:rsidRDefault="00D40F15" w:rsidP="001C1569">
      <w:pPr>
        <w:pStyle w:val="ab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- Детский сад № 105 победил во Всероссийском конкурсе инновационных проектов и получил грант 100 тыс. руб.</w:t>
      </w:r>
    </w:p>
    <w:p w:rsidR="00D40F15" w:rsidRPr="0011375B" w:rsidRDefault="00D40F15" w:rsidP="00D40F15">
      <w:pPr>
        <w:pStyle w:val="ab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Воспитанники и педагоги дошкольных учреждений Прокопьевска – в числе лауреатов регионального конкурса детских мультипликационных фильмов «Кузбасский кораблик мечты».</w:t>
      </w:r>
    </w:p>
    <w:p w:rsidR="00D40F15" w:rsidRPr="0011375B" w:rsidRDefault="00D40F15" w:rsidP="00D40F15">
      <w:pPr>
        <w:pStyle w:val="ab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F15" w:rsidRPr="0011375B" w:rsidRDefault="00D40F15" w:rsidP="00D40F15">
      <w:pPr>
        <w:pStyle w:val="ab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b/>
          <w:sz w:val="28"/>
          <w:szCs w:val="28"/>
        </w:rPr>
        <w:t>Общее образование.</w:t>
      </w:r>
    </w:p>
    <w:p w:rsidR="00D40F15" w:rsidRPr="0011375B" w:rsidRDefault="00D40F15" w:rsidP="00D40F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В общеобразовательной системе города работают 1 737 чел., в том числе 1 253 педагогических работника.</w:t>
      </w:r>
    </w:p>
    <w:p w:rsidR="00324951" w:rsidRPr="001C1569" w:rsidRDefault="00D40F15" w:rsidP="001C1569">
      <w:pPr>
        <w:spacing w:after="0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1C1569">
        <w:rPr>
          <w:rFonts w:ascii="Times New Roman" w:hAnsi="Times New Roman" w:cs="Times New Roman"/>
          <w:bCs/>
          <w:i/>
          <w:sz w:val="28"/>
          <w:szCs w:val="28"/>
          <w:u w:val="single"/>
        </w:rPr>
        <w:t>Достижения общеобразовательных учреждений в 2024 году:</w:t>
      </w:r>
    </w:p>
    <w:p w:rsidR="00324951" w:rsidRPr="0011375B" w:rsidRDefault="00324951" w:rsidP="00324951">
      <w:pPr>
        <w:pStyle w:val="ab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Муниципальная команда учителей математиков одержала победу в региональной интеллектуальной игре 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>«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 лучшие математики Кузбасса!»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4951" w:rsidRPr="0011375B" w:rsidRDefault="00324951" w:rsidP="00324951">
      <w:pPr>
        <w:pStyle w:val="ab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 xml:space="preserve">Учителя русского языка и литературы стали победителями и призерами 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регионального этапа Всероссийской профессиональной олимпиады «Хранители русского языка», </w:t>
      </w:r>
      <w:r w:rsidR="00D40F15" w:rsidRPr="0011375B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регионального этапа Всероссийского конкурса в области педагогики, воспитания и работы с детьми и молодёжью «За нравственный подвиг учителя</w:t>
      </w:r>
      <w:r w:rsidR="00D40F15" w:rsidRPr="00113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».</w:t>
      </w:r>
    </w:p>
    <w:p w:rsidR="00324951" w:rsidRPr="0011375B" w:rsidRDefault="00324951" w:rsidP="00324951">
      <w:pPr>
        <w:pStyle w:val="ab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Учитель химии школы №32 Бедарева Наталья Анатольевна вошла в число финалистов первого Всероссийского конкурса «Миссия: инженер» для учителей физики, химии и информатики. </w:t>
      </w:r>
    </w:p>
    <w:p w:rsidR="00324951" w:rsidRPr="0011375B" w:rsidRDefault="00324951" w:rsidP="00324951">
      <w:pPr>
        <w:pStyle w:val="ab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>Школа с углубленным изучением отдельных предметов № 32 и школа №14 по результатам ЕГЭ вошли в число лидеров по конкурентоспособности выпускников! 3 выпускника школ № 14, 32 и лицея № 57 набрали 100 баллов по химии и русскому языку.</w:t>
      </w:r>
    </w:p>
    <w:p w:rsidR="00D40F15" w:rsidRPr="0011375B" w:rsidRDefault="00324951" w:rsidP="00324951">
      <w:pPr>
        <w:pStyle w:val="ab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 xml:space="preserve">Школы 2, 10, 11, 14, 15, 32, 51, 45, 54, 57, 68, 72 подготовили 58 выпускников, которые по итогам трех предметов на ЕГЭ набрали более 240 баллов (всего 58 выпускников), а выпускница школы № 51 набрала 290 баллов — это лучший результат в городе. </w:t>
      </w:r>
    </w:p>
    <w:p w:rsidR="00324951" w:rsidRPr="0011375B" w:rsidRDefault="00324951" w:rsidP="0011375B">
      <w:pPr>
        <w:pStyle w:val="ab"/>
        <w:shd w:val="clear" w:color="auto" w:fill="FFFFFF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3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D40F15" w:rsidRPr="00113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отличную учебу и активное участие в общественной жизни двое </w:t>
      </w:r>
      <w:proofErr w:type="spellStart"/>
      <w:r w:rsidR="00D40F15" w:rsidRPr="0011375B">
        <w:rPr>
          <w:rFonts w:ascii="Times New Roman" w:hAnsi="Times New Roman" w:cs="Times New Roman"/>
          <w:bCs/>
          <w:color w:val="000000"/>
          <w:sz w:val="28"/>
          <w:szCs w:val="28"/>
        </w:rPr>
        <w:t>прокопьевских</w:t>
      </w:r>
      <w:proofErr w:type="spellEnd"/>
      <w:r w:rsidR="00D40F15" w:rsidRPr="001137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школьников в 2024 году награждены областной медалью «Надежда Кузбасса».</w:t>
      </w:r>
    </w:p>
    <w:p w:rsidR="00D40F15" w:rsidRPr="0011375B" w:rsidRDefault="00D40F15" w:rsidP="008A716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Учащиеся школ не отстают в достижениях от своих наставников. </w:t>
      </w:r>
    </w:p>
    <w:p w:rsidR="00324951" w:rsidRPr="0011375B" w:rsidRDefault="00324951" w:rsidP="00324951">
      <w:pPr>
        <w:pStyle w:val="ab"/>
        <w:shd w:val="clear" w:color="auto" w:fill="FFFFFF"/>
        <w:ind w:left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56 учащихся получили медали за особые успехи в учебе.</w:t>
      </w:r>
    </w:p>
    <w:p w:rsidR="00324951" w:rsidRPr="0011375B" w:rsidRDefault="00324951" w:rsidP="00324951">
      <w:pPr>
        <w:pStyle w:val="ab"/>
        <w:shd w:val="clear" w:color="auto" w:fill="FFFFFF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20 призовых мест завоевали ребята-участники регионального этапа Всероссийской олимпиады школьников, 15 призовых мест на 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>Кузбасской школьной конференции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324951" w:rsidRPr="0011375B" w:rsidRDefault="00324951" w:rsidP="00324951">
      <w:pPr>
        <w:pStyle w:val="ab"/>
        <w:shd w:val="clear" w:color="auto" w:fill="FFFFFF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Ребята становились Финалистами и полуфиналистами Всероссийского конкурса «Большая перемена», 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>победителями Всероссийского конкурса видеопроектов для учащихся психолого-педагогических классов,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призерами Всероссийского детского фестиваля народной культуры «Наследники традиций» 2024 года. Победителями </w:t>
      </w:r>
      <w:r w:rsidR="00D40F15" w:rsidRPr="0011375B">
        <w:rPr>
          <w:rStyle w:val="af3"/>
          <w:rFonts w:ascii="Times New Roman" w:hAnsi="Times New Roman" w:cs="Times New Roman"/>
          <w:b w:val="0"/>
          <w:sz w:val="28"/>
          <w:szCs w:val="28"/>
        </w:rPr>
        <w:t xml:space="preserve">Межрегиональной олимпиаде по родным языкам народов Сибири и Дальнего Востока, регионального этапа чемпионата «Профессионалы», 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>конкурса</w:t>
      </w:r>
      <w:r w:rsidR="00D40F15" w:rsidRPr="00113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F15" w:rsidRPr="0011375B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«Самое сильное звено» среди</w:t>
      </w:r>
      <w:r w:rsidR="00D40F15" w:rsidRPr="0011375B">
        <w:rPr>
          <w:rStyle w:val="af3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 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10-х инженерных классов общеобразовательных организаций Кузбасса, регионального этапа 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>Всероссийского конкурса научно-технологических проектов «Большие вызовы». Неоднократными победителями открытого регионального конкурса «Анимация. Школа. Кузбасс», спортивных соревнований по спортивному ориентированию.</w:t>
      </w:r>
    </w:p>
    <w:p w:rsidR="00D40F15" w:rsidRPr="0011375B" w:rsidRDefault="00324951" w:rsidP="00324951">
      <w:pPr>
        <w:pStyle w:val="ab"/>
        <w:shd w:val="clear" w:color="auto" w:fill="FFFFFF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>Учащиеся нашего города стали лауреатами регионального тура Всероссийского конкурса юных чтецов «Живая классика 2024», регионального этапа Чемпионата России по игре «Что? Где? Когда?»,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призерами областной </w:t>
      </w:r>
      <w:r w:rsidR="00D40F15" w:rsidRPr="0011375B">
        <w:rPr>
          <w:rFonts w:ascii="Times New Roman" w:hAnsi="Times New Roman" w:cs="Times New Roman"/>
          <w:bCs/>
          <w:sz w:val="28"/>
          <w:szCs w:val="28"/>
        </w:rPr>
        <w:t>ХХ Олимпиады «Здоровое поколение».</w:t>
      </w:r>
      <w:r w:rsidR="00D40F15"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D40F15" w:rsidRPr="0011375B" w:rsidRDefault="00D40F15" w:rsidP="007128FC">
      <w:pPr>
        <w:tabs>
          <w:tab w:val="left" w:pos="0"/>
        </w:tabs>
        <w:spacing w:before="240"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75B">
        <w:rPr>
          <w:rFonts w:ascii="Times New Roman" w:hAnsi="Times New Roman" w:cs="Times New Roman"/>
          <w:b/>
          <w:sz w:val="28"/>
          <w:szCs w:val="28"/>
        </w:rPr>
        <w:t>Дополнительное образование.</w:t>
      </w:r>
    </w:p>
    <w:p w:rsidR="00D40F15" w:rsidRPr="0011375B" w:rsidRDefault="00D40F15" w:rsidP="008A716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>Всего работников в дополнительном образовании 214 чел., в том числе 118 педагог</w:t>
      </w:r>
      <w:r w:rsidR="0011375B">
        <w:rPr>
          <w:rFonts w:ascii="Times New Roman" w:hAnsi="Times New Roman" w:cs="Times New Roman"/>
          <w:bCs/>
          <w:sz w:val="28"/>
          <w:szCs w:val="28"/>
        </w:rPr>
        <w:t>ов</w:t>
      </w:r>
      <w:r w:rsidRPr="0011375B">
        <w:rPr>
          <w:rFonts w:ascii="Times New Roman" w:hAnsi="Times New Roman" w:cs="Times New Roman"/>
          <w:bCs/>
          <w:sz w:val="28"/>
          <w:szCs w:val="28"/>
        </w:rPr>
        <w:t>.</w:t>
      </w:r>
    </w:p>
    <w:p w:rsidR="00324951" w:rsidRPr="0011375B" w:rsidRDefault="00D40F15" w:rsidP="00D66B70">
      <w:pPr>
        <w:spacing w:after="0" w:line="2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>Охват детей доп. образованием составил 87% (численность детей в возрасте 5-18 лет, получающих услуги по дополнительному образованию – 25284 чел.).</w:t>
      </w:r>
      <w:bookmarkStart w:id="7" w:name="_Hlk64289140"/>
      <w:bookmarkStart w:id="8" w:name="_Hlk72238897"/>
    </w:p>
    <w:p w:rsidR="00324951" w:rsidRPr="0011375B" w:rsidRDefault="00D40F15" w:rsidP="00D66B70">
      <w:pPr>
        <w:pStyle w:val="ab"/>
        <w:numPr>
          <w:ilvl w:val="0"/>
          <w:numId w:val="32"/>
        </w:numPr>
        <w:spacing w:line="2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Педагоги дополнительного образования победили в конкурсе «Педагог-лидер ЮИД 2024» и стали призерами Кубка России по альпинизму</w:t>
      </w:r>
      <w:r w:rsidRPr="0011375B">
        <w:rPr>
          <w:rFonts w:ascii="Times New Roman" w:hAnsi="Times New Roman" w:cs="Times New Roman"/>
          <w:bCs/>
          <w:sz w:val="28"/>
          <w:szCs w:val="28"/>
        </w:rPr>
        <w:t>.</w:t>
      </w:r>
    </w:p>
    <w:p w:rsidR="00324951" w:rsidRPr="0011375B" w:rsidRDefault="00D40F15" w:rsidP="00D66B70">
      <w:pPr>
        <w:pStyle w:val="ab"/>
        <w:numPr>
          <w:ilvl w:val="0"/>
          <w:numId w:val="32"/>
        </w:numPr>
        <w:spacing w:line="2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Прокопьевские</w:t>
      </w:r>
      <w:proofErr w:type="spellEnd"/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кадеты - победители заключительного этапа VIII Всероссийского патриотического конкурса "Сыны и дочери Отечества». </w:t>
      </w:r>
    </w:p>
    <w:p w:rsidR="00324951" w:rsidRPr="0011375B" w:rsidRDefault="00D40F15" w:rsidP="00D66B70">
      <w:pPr>
        <w:pStyle w:val="ab"/>
        <w:numPr>
          <w:ilvl w:val="0"/>
          <w:numId w:val="32"/>
        </w:numPr>
        <w:spacing w:line="2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Поисковые отряды «Знамя» и «Костер» летом 2024года приняли участие во всероссийской Вахте Памяти в Карелии.</w:t>
      </w:r>
    </w:p>
    <w:p w:rsidR="00324951" w:rsidRPr="0011375B" w:rsidRDefault="00D40F15" w:rsidP="00D66B70">
      <w:pPr>
        <w:pStyle w:val="ab"/>
        <w:numPr>
          <w:ilvl w:val="0"/>
          <w:numId w:val="32"/>
        </w:numPr>
        <w:spacing w:line="2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Команда “Прокопьевск-</w:t>
      </w:r>
      <w:proofErr w:type="spellStart"/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Квадро</w:t>
      </w:r>
      <w:proofErr w:type="spellEnd"/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” заняла первое место во Всероссийском чемпионате пилотирования дронов "Пилоты будущего" в Казани </w:t>
      </w:r>
    </w:p>
    <w:p w:rsidR="00D40F15" w:rsidRPr="0011375B" w:rsidRDefault="00D40F15" w:rsidP="008A716C">
      <w:pPr>
        <w:pStyle w:val="ab"/>
        <w:numPr>
          <w:ilvl w:val="0"/>
          <w:numId w:val="32"/>
        </w:numPr>
        <w:spacing w:line="2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ДЕТИ С НЕОГРАНИЧЕННЫМИ ВОЗМОЖНОСТЯМИ </w:t>
      </w:r>
    </w:p>
    <w:p w:rsidR="00D40F15" w:rsidRPr="0011375B" w:rsidRDefault="00D40F15" w:rsidP="008A716C">
      <w:pPr>
        <w:spacing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 xml:space="preserve">Победители III Кузбасской междисциплинарной олимпиады, </w:t>
      </w:r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призеры открытого межрегионального Фестиваля «Театр твоего успеха». Победители и лауреаты регионального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Абилимпикс</w:t>
      </w:r>
      <w:proofErr w:type="spellEnd"/>
      <w:r w:rsidRPr="001137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– 2024».</w:t>
      </w:r>
    </w:p>
    <w:bookmarkEnd w:id="7"/>
    <w:bookmarkEnd w:id="8"/>
    <w:p w:rsidR="00D40F15" w:rsidRPr="0011375B" w:rsidRDefault="00D40F15" w:rsidP="0011375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>В летний период 2024 года осуществляли свою деятельность 46 организаций отдыха детей и их оздоровления, в т. ч. 44 муниципальных организаций – 4 ЗОЦ («Олимпиец», «Бережок», «Елочка», «Уголек»), 3 палаточных лагеря, 7 лагерей труда и отдыха, 30 лагерей с дневным пребыванием и 1 частная организация – 1 ЗОЦ («Космос»), 1 санаторий («Жемчужина»). Всего детей в возрасте от 7 до 17 лет, отдохнувших в ЗОЦ и др. – 17805 чел</w:t>
      </w:r>
      <w:r w:rsidR="00324951" w:rsidRPr="0011375B">
        <w:rPr>
          <w:rFonts w:ascii="Times New Roman" w:hAnsi="Times New Roman" w:cs="Times New Roman"/>
          <w:bCs/>
          <w:sz w:val="28"/>
          <w:szCs w:val="28"/>
        </w:rPr>
        <w:t>.</w:t>
      </w:r>
      <w:r w:rsidRPr="0011375B">
        <w:rPr>
          <w:rFonts w:ascii="Times New Roman" w:hAnsi="Times New Roman" w:cs="Times New Roman"/>
          <w:bCs/>
          <w:sz w:val="28"/>
          <w:szCs w:val="28"/>
        </w:rPr>
        <w:t>, из них воспользовались компенсацией на приобретение путевки – 2 800 чел.</w:t>
      </w:r>
    </w:p>
    <w:p w:rsidR="00D40F15" w:rsidRPr="0011375B" w:rsidRDefault="00D40F15" w:rsidP="00D40F1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75B">
        <w:rPr>
          <w:rFonts w:ascii="Times New Roman" w:hAnsi="Times New Roman" w:cs="Times New Roman"/>
          <w:bCs/>
          <w:sz w:val="28"/>
          <w:szCs w:val="28"/>
        </w:rPr>
        <w:t>В сфере образования в настоящее время в рамках национального проекта «Образование» реализуются следующие федеральные проекты:</w:t>
      </w:r>
    </w:p>
    <w:p w:rsidR="00D40F15" w:rsidRPr="0011375B" w:rsidRDefault="00D40F15" w:rsidP="008A716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75B">
        <w:rPr>
          <w:rFonts w:ascii="Times New Roman" w:hAnsi="Times New Roman" w:cs="Times New Roman"/>
          <w:b/>
          <w:sz w:val="28"/>
          <w:szCs w:val="28"/>
        </w:rPr>
        <w:t>«Успех каждого ребенка»</w:t>
      </w:r>
    </w:p>
    <w:p w:rsidR="00D40F15" w:rsidRPr="0011375B" w:rsidRDefault="00D40F15" w:rsidP="00865A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В систему дополнительного образования детей включено: </w:t>
      </w:r>
    </w:p>
    <w:p w:rsidR="00D40F15" w:rsidRPr="0011375B" w:rsidRDefault="00D40F15" w:rsidP="00865A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- </w:t>
      </w:r>
      <w:r w:rsidRPr="0011375B">
        <w:rPr>
          <w:rFonts w:ascii="Times New Roman" w:hAnsi="Times New Roman" w:cs="Times New Roman"/>
          <w:b/>
          <w:sz w:val="28"/>
          <w:szCs w:val="28"/>
        </w:rPr>
        <w:t>89</w:t>
      </w:r>
      <w:r w:rsidRPr="0011375B">
        <w:rPr>
          <w:rFonts w:ascii="Times New Roman" w:hAnsi="Times New Roman" w:cs="Times New Roman"/>
          <w:sz w:val="28"/>
          <w:szCs w:val="28"/>
        </w:rPr>
        <w:t xml:space="preserve"> учреждений образования (46 д/с, 37 школ, 4 УДО, 2 д/дома), </w:t>
      </w:r>
    </w:p>
    <w:p w:rsidR="00D40F15" w:rsidRPr="0011375B" w:rsidRDefault="00D40F15" w:rsidP="00865A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- </w:t>
      </w:r>
      <w:r w:rsidRPr="0011375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11375B">
        <w:rPr>
          <w:rFonts w:ascii="Times New Roman" w:hAnsi="Times New Roman" w:cs="Times New Roman"/>
          <w:sz w:val="28"/>
          <w:szCs w:val="28"/>
        </w:rPr>
        <w:t xml:space="preserve">учреждений спорта. </w:t>
      </w:r>
    </w:p>
    <w:p w:rsidR="00D40F15" w:rsidRPr="0011375B" w:rsidRDefault="00D40F15" w:rsidP="00865A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Pr="0011375B">
        <w:rPr>
          <w:rFonts w:ascii="Times New Roman" w:hAnsi="Times New Roman" w:cs="Times New Roman"/>
          <w:b/>
          <w:sz w:val="28"/>
          <w:szCs w:val="28"/>
        </w:rPr>
        <w:t>604 программы.</w:t>
      </w:r>
      <w:r w:rsidRPr="00113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0F15" w:rsidRPr="0011375B" w:rsidRDefault="00D40F15" w:rsidP="00D40F15">
      <w:pPr>
        <w:pStyle w:val="ab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Охват детей в возрасте от 5 до 18 дет, имеющих право на получение дополнительного образования в рамках системы персонифицированного финансирования в 2024 году составляет 28,2 %, что выше на 3,2 % целевого показателя данного проекта (целевой – 25 %). Для этого на реализацию 8199 сертификатов персонифицированного финансирования из средств местного бюджета направлено 20,3 млн. руб. </w:t>
      </w:r>
    </w:p>
    <w:p w:rsidR="00D40F15" w:rsidRPr="0011375B" w:rsidRDefault="00D40F15" w:rsidP="0011375B">
      <w:pPr>
        <w:pStyle w:val="ab"/>
        <w:spacing w:after="24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375B">
        <w:rPr>
          <w:rFonts w:ascii="Times New Roman" w:hAnsi="Times New Roman" w:cs="Times New Roman"/>
          <w:sz w:val="28"/>
          <w:szCs w:val="28"/>
        </w:rPr>
        <w:t>В целях создания условий для</w:t>
      </w:r>
      <w:r w:rsidRPr="0011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реализации дополнительных общеразвивающих программ всех направленностей, образовательные учреждения участвуют в проекте по созданию новых мест. В 2024 году в проект были включены </w:t>
      </w:r>
      <w:r w:rsidRPr="00113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 школ</w:t>
      </w:r>
      <w:r w:rsidRPr="0011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(№№ 2,3,6,11,15,16,25,28,29,32,35,51,54,</w:t>
      </w:r>
      <w:r w:rsidR="00865A50" w:rsidRPr="0011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75B">
        <w:rPr>
          <w:rFonts w:ascii="Times New Roman" w:hAnsi="Times New Roman" w:cs="Times New Roman"/>
          <w:sz w:val="28"/>
          <w:szCs w:val="28"/>
          <w:shd w:val="clear" w:color="auto" w:fill="FFFFFF"/>
        </w:rPr>
        <w:t>62,68,69,70, лицей №57, гимназия № 72, кор.32) и 1 учреждение дополнительного образования (ЦДОД – ЗОЛ «Олимпиец»). Всего оснащено 27 кабинетов, на что из федерального бюджета было направлено 12,9 млн.</w:t>
      </w:r>
      <w:r w:rsidR="00865A50" w:rsidRPr="0011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137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руб. </w:t>
      </w:r>
    </w:p>
    <w:p w:rsidR="00D40F15" w:rsidRPr="0011375B" w:rsidRDefault="00D40F15" w:rsidP="00865A5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75B">
        <w:rPr>
          <w:rFonts w:ascii="Times New Roman" w:hAnsi="Times New Roman" w:cs="Times New Roman"/>
          <w:b/>
          <w:sz w:val="28"/>
          <w:szCs w:val="28"/>
        </w:rPr>
        <w:t>«Патриотическое воспитание»</w:t>
      </w:r>
    </w:p>
    <w:p w:rsidR="00D40F15" w:rsidRPr="0011375B" w:rsidRDefault="00D40F15" w:rsidP="00D40F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 xml:space="preserve">В рамках данного проекта еще в 2023 году в штатные расписания школ введены должности </w:t>
      </w:r>
      <w:r w:rsidRPr="0011375B">
        <w:rPr>
          <w:rFonts w:ascii="Times New Roman" w:hAnsi="Times New Roman" w:cs="Times New Roman"/>
          <w:b/>
          <w:sz w:val="28"/>
          <w:szCs w:val="28"/>
        </w:rPr>
        <w:t>Советников директоров по воспитанию</w:t>
      </w:r>
      <w:r w:rsidRPr="0011375B">
        <w:rPr>
          <w:rFonts w:ascii="Times New Roman" w:hAnsi="Times New Roman" w:cs="Times New Roman"/>
          <w:sz w:val="28"/>
          <w:szCs w:val="28"/>
        </w:rPr>
        <w:t xml:space="preserve">, на что из федерального и областного бюджетов в 2024 году выделено 7,7 </w:t>
      </w:r>
      <w:proofErr w:type="spellStart"/>
      <w:r w:rsidRPr="0011375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11375B">
        <w:rPr>
          <w:rFonts w:ascii="Times New Roman" w:hAnsi="Times New Roman" w:cs="Times New Roman"/>
          <w:sz w:val="28"/>
          <w:szCs w:val="28"/>
        </w:rPr>
        <w:t>. (на з/п).</w:t>
      </w:r>
    </w:p>
    <w:p w:rsidR="00D40F15" w:rsidRPr="0011375B" w:rsidRDefault="00D40F15" w:rsidP="00D40F15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1375B">
        <w:rPr>
          <w:rFonts w:ascii="Times New Roman" w:hAnsi="Times New Roman" w:cs="Times New Roman"/>
          <w:b/>
          <w:sz w:val="28"/>
          <w:szCs w:val="28"/>
        </w:rPr>
        <w:t xml:space="preserve">Региональный проект «Вкусная перемена» - </w:t>
      </w:r>
      <w:r w:rsidRPr="0011375B">
        <w:rPr>
          <w:rFonts w:ascii="Times New Roman" w:hAnsi="Times New Roman" w:cs="Times New Roman"/>
          <w:sz w:val="28"/>
          <w:szCs w:val="28"/>
        </w:rPr>
        <w:t>проведен ремонт и оснащение пищеблока гимназии № 72. Ремонт осуществлен за счет средств местного бюджета, а оснащение осуществлено за счет областного бюджета (получены</w:t>
      </w:r>
      <w:r w:rsidRPr="0011375B">
        <w:rPr>
          <w:rFonts w:ascii="Times New Roman" w:hAnsi="Times New Roman" w:cs="Times New Roman"/>
          <w:bCs/>
          <w:sz w:val="28"/>
          <w:szCs w:val="28"/>
        </w:rPr>
        <w:t xml:space="preserve"> плиты с жарочным шкафом, котел пищеварочный, холодильники, камеры холодильные, посудомоечные машины, шкафы, стеллажи, столы и т.д.). Освоены средства </w:t>
      </w:r>
      <w:r w:rsidR="00865A50" w:rsidRPr="0011375B">
        <w:rPr>
          <w:rFonts w:ascii="Times New Roman" w:hAnsi="Times New Roman" w:cs="Times New Roman"/>
          <w:bCs/>
          <w:sz w:val="28"/>
          <w:szCs w:val="28"/>
        </w:rPr>
        <w:t>(ОБ</w:t>
      </w:r>
      <w:r w:rsidRPr="0011375B">
        <w:rPr>
          <w:rFonts w:ascii="Times New Roman" w:hAnsi="Times New Roman" w:cs="Times New Roman"/>
          <w:b/>
          <w:bCs/>
          <w:sz w:val="28"/>
          <w:szCs w:val="28"/>
        </w:rPr>
        <w:t xml:space="preserve"> – 6,3 млн. руб. </w:t>
      </w:r>
      <w:r w:rsidRPr="0011375B">
        <w:rPr>
          <w:rFonts w:ascii="Times New Roman" w:hAnsi="Times New Roman" w:cs="Times New Roman"/>
          <w:bCs/>
          <w:i/>
          <w:sz w:val="28"/>
          <w:szCs w:val="28"/>
        </w:rPr>
        <w:t xml:space="preserve">(оснащение), </w:t>
      </w:r>
      <w:r w:rsidRPr="0011375B">
        <w:rPr>
          <w:rFonts w:ascii="Times New Roman" w:hAnsi="Times New Roman" w:cs="Times New Roman"/>
          <w:b/>
          <w:bCs/>
          <w:sz w:val="28"/>
          <w:szCs w:val="28"/>
        </w:rPr>
        <w:t xml:space="preserve">МБ – 15,3 млн. руб. </w:t>
      </w:r>
      <w:r w:rsidRPr="0011375B">
        <w:rPr>
          <w:rFonts w:ascii="Times New Roman" w:hAnsi="Times New Roman" w:cs="Times New Roman"/>
          <w:bCs/>
          <w:i/>
          <w:sz w:val="28"/>
          <w:szCs w:val="28"/>
        </w:rPr>
        <w:t>(ремонт)).</w:t>
      </w:r>
    </w:p>
    <w:p w:rsidR="00D40F15" w:rsidRPr="0011375B" w:rsidRDefault="00D40F15" w:rsidP="00D66B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75B">
        <w:rPr>
          <w:rFonts w:ascii="Times New Roman" w:hAnsi="Times New Roman" w:cs="Times New Roman"/>
          <w:sz w:val="28"/>
          <w:szCs w:val="28"/>
        </w:rPr>
        <w:t>На реализацию национальных, регионального проектов в 2024 году выделено: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6692"/>
      </w:tblGrid>
      <w:tr w:rsidR="00D40F15" w:rsidRPr="0011375B" w:rsidTr="00865A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15" w:rsidRPr="0011375B" w:rsidRDefault="00D40F15" w:rsidP="00865A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865A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sz w:val="28"/>
                <w:szCs w:val="28"/>
              </w:rPr>
              <w:t>2024 год (млн. рублей)</w:t>
            </w:r>
          </w:p>
        </w:tc>
      </w:tr>
      <w:tr w:rsidR="00D40F15" w:rsidRPr="0011375B" w:rsidTr="00865A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865A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sz w:val="28"/>
                <w:szCs w:val="28"/>
              </w:rPr>
              <w:t>НП «Образование»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865A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sz w:val="28"/>
                <w:szCs w:val="28"/>
              </w:rPr>
              <w:t>40,9</w:t>
            </w:r>
          </w:p>
        </w:tc>
      </w:tr>
      <w:tr w:rsidR="00D40F15" w:rsidRPr="0011375B" w:rsidTr="00865A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865A5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проект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865A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</w:tr>
      <w:tr w:rsidR="00D40F15" w:rsidRPr="0011375B" w:rsidTr="00865A5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865A50">
            <w:pPr>
              <w:spacing w:after="0"/>
              <w:ind w:right="2510"/>
              <w:rPr>
                <w:rFonts w:ascii="Times New Roman" w:hAnsi="Times New Roman" w:cs="Times New Roman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865A5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62,5 </w:t>
            </w:r>
          </w:p>
        </w:tc>
      </w:tr>
    </w:tbl>
    <w:p w:rsidR="00D40F15" w:rsidRPr="00865A50" w:rsidRDefault="00D40F15" w:rsidP="00D40F15">
      <w:pPr>
        <w:pStyle w:val="aa"/>
        <w:ind w:firstLine="85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D40F15" w:rsidRPr="0011375B" w:rsidRDefault="00D40F15" w:rsidP="00D66B70">
      <w:pPr>
        <w:pStyle w:val="aa"/>
        <w:ind w:firstLine="851"/>
        <w:jc w:val="center"/>
        <w:rPr>
          <w:rFonts w:ascii="Times New Roman" w:hAnsi="Times New Roman"/>
          <w:color w:val="000000"/>
          <w:sz w:val="28"/>
          <w:szCs w:val="28"/>
        </w:rPr>
      </w:pPr>
      <w:r w:rsidRPr="0011375B">
        <w:rPr>
          <w:rFonts w:ascii="Times New Roman" w:hAnsi="Times New Roman"/>
          <w:color w:val="000000"/>
          <w:sz w:val="28"/>
          <w:szCs w:val="28"/>
        </w:rPr>
        <w:t>Цифровой анализ прилагается.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039"/>
        <w:gridCol w:w="1709"/>
      </w:tblGrid>
      <w:tr w:rsidR="00D40F15" w:rsidRPr="0011375B" w:rsidTr="00D66B70">
        <w:trPr>
          <w:cantSplit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2024 год</w:t>
            </w:r>
          </w:p>
        </w:tc>
      </w:tr>
      <w:tr w:rsidR="00D40F15" w:rsidRPr="0011375B" w:rsidTr="00D66B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Число общеобразовательных школ</w:t>
            </w:r>
          </w:p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в них учащихся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21066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37</w:t>
            </w:r>
          </w:p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20372</w:t>
            </w:r>
          </w:p>
        </w:tc>
      </w:tr>
      <w:tr w:rsidR="00D40F15" w:rsidRPr="0011375B" w:rsidTr="00D66B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</w:t>
            </w:r>
            <w:r w:rsidR="00865A50"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40F15" w:rsidRPr="0011375B" w:rsidTr="00D66B70">
        <w:trPr>
          <w:trHeight w:val="59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Специальных коррекционных школ</w:t>
            </w:r>
          </w:p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в них уч-ся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537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529</w:t>
            </w:r>
          </w:p>
        </w:tc>
      </w:tr>
      <w:tr w:rsidR="00D40F15" w:rsidRPr="0011375B" w:rsidTr="00D66B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Численность </w:t>
            </w:r>
            <w:proofErr w:type="spellStart"/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уч</w:t>
            </w:r>
            <w:r w:rsidR="0011375B">
              <w:rPr>
                <w:rFonts w:ascii="Times New Roman" w:hAnsi="Times New Roman"/>
                <w:color w:val="000000"/>
                <w:sz w:val="28"/>
                <w:szCs w:val="28"/>
              </w:rPr>
              <w:t>ащихся</w:t>
            </w: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ся</w:t>
            </w:r>
            <w:proofErr w:type="spellEnd"/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спец.</w:t>
            </w:r>
            <w:r w:rsidR="00865A50"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школе № 64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</w:tr>
      <w:tr w:rsidR="00D40F15" w:rsidRPr="0011375B" w:rsidTr="00D66B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Численность уч</w:t>
            </w:r>
            <w:r w:rsidR="0011375B">
              <w:rPr>
                <w:rFonts w:ascii="Times New Roman" w:hAnsi="Times New Roman"/>
                <w:color w:val="000000"/>
                <w:sz w:val="28"/>
                <w:szCs w:val="28"/>
              </w:rPr>
              <w:t>ащих</w:t>
            </w: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ся в школе - интернат № 32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214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224</w:t>
            </w:r>
          </w:p>
        </w:tc>
      </w:tr>
      <w:tr w:rsidR="00D40F15" w:rsidRPr="0011375B" w:rsidTr="00D66B70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Число дошкольных образовательных учреждений</w:t>
            </w:r>
          </w:p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Число дошкольных отделений</w:t>
            </w:r>
          </w:p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в них число мест</w:t>
            </w:r>
          </w:p>
          <w:p w:rsidR="00D40F15" w:rsidRPr="0011375B" w:rsidRDefault="00D40F15" w:rsidP="00D66B70">
            <w:pPr>
              <w:pStyle w:val="aa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/>
                <w:color w:val="000000"/>
                <w:sz w:val="28"/>
                <w:szCs w:val="28"/>
              </w:rPr>
              <w:t>факт. число детей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50" w:rsidRPr="0011375B" w:rsidRDefault="00D40F15" w:rsidP="00D66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6874</w:t>
            </w:r>
          </w:p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6419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6868</w:t>
            </w:r>
          </w:p>
          <w:p w:rsidR="00D40F15" w:rsidRPr="0011375B" w:rsidRDefault="00D40F15" w:rsidP="00D66B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37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5937</w:t>
            </w:r>
          </w:p>
        </w:tc>
      </w:tr>
    </w:tbl>
    <w:p w:rsidR="00865A50" w:rsidRDefault="00865A50" w:rsidP="003A6F06">
      <w:pPr>
        <w:pStyle w:val="23"/>
        <w:suppressAutoHyphens w:val="0"/>
        <w:spacing w:line="276" w:lineRule="auto"/>
        <w:ind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A6F06" w:rsidRPr="005E5581" w:rsidRDefault="003A6F06" w:rsidP="003A6F06">
      <w:pPr>
        <w:pStyle w:val="23"/>
        <w:suppressAutoHyphens w:val="0"/>
        <w:spacing w:line="276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E5581">
        <w:rPr>
          <w:rFonts w:ascii="Times New Roman" w:hAnsi="Times New Roman"/>
          <w:b/>
          <w:bCs/>
          <w:sz w:val="28"/>
          <w:szCs w:val="28"/>
        </w:rPr>
        <w:t>КУЛЬТУРА</w:t>
      </w:r>
    </w:p>
    <w:p w:rsidR="003106DB" w:rsidRPr="005E5581" w:rsidRDefault="003106DB" w:rsidP="009C1BE9">
      <w:pPr>
        <w:pStyle w:val="af"/>
        <w:widowControl w:val="0"/>
        <w:spacing w:before="0" w:beforeAutospacing="0" w:after="0" w:afterAutospacing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В структуре Управления по культуре администрации г. Прокопьевска 16 муниципальных бюджетных учреждений культуры, в том числе 4 автономных: 6 Дворцов культуры и 1 клуб: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МБУК «ДК им. Артема»,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МАУК «ДК им. Маяковского»,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МАУК «ДК «Ясная Поляна»,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МБУК «ДК «Красная Горка»,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МБУК «ДК «Шахтеров»,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МБУК «ДК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Зенковский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им. народного артиста СССР И.Д. Кобзона»,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МБУК «Клуб «Искорка»,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МБУК «КВЦ «Вернисаж», 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МБУК «ЦБС» (13 библиотек),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МБУК «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городской краеведческий музей»,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2 детские музыкальные школы (МБУ ДО «ДМШ №11», МАУ ДО «ДМШ №57»),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2 детские школы искусств (МАУ ДО «ДШИ №10 им. А.И. Хачатуряна»,</w:t>
      </w:r>
      <w:r w:rsidR="005E5581">
        <w:rPr>
          <w:rFonts w:ascii="Times New Roman" w:hAnsi="Times New Roman" w:cs="Times New Roman"/>
          <w:sz w:val="28"/>
          <w:szCs w:val="28"/>
        </w:rPr>
        <w:t xml:space="preserve"> </w:t>
      </w:r>
      <w:r w:rsidRPr="005E5581">
        <w:rPr>
          <w:rFonts w:ascii="Times New Roman" w:hAnsi="Times New Roman" w:cs="Times New Roman"/>
          <w:sz w:val="28"/>
          <w:szCs w:val="28"/>
        </w:rPr>
        <w:t xml:space="preserve">МБУ ДО «ДШИ №68»),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художественная школа (МАУ ДО «ДХШ №8»), </w:t>
      </w:r>
    </w:p>
    <w:p w:rsidR="003106DB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 w:line="276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МБУ «Центр бухгалтерского и технического обслуживания учреждений культуры»,</w:t>
      </w:r>
    </w:p>
    <w:p w:rsidR="009C1BE9" w:rsidRPr="005E5581" w:rsidRDefault="003106DB" w:rsidP="00D66B70">
      <w:pPr>
        <w:pStyle w:val="af"/>
        <w:widowControl w:val="0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кинотеатр на 46 посадочных мест в ДК «Красная Горка».</w:t>
      </w:r>
    </w:p>
    <w:p w:rsidR="00532715" w:rsidRPr="005E5581" w:rsidRDefault="003106DB" w:rsidP="00532715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На базе учреждений культуры работают: 26 коллективов, имеющих звание «Народный» (14), «Образцовый» (12); 186 коллективов самодеятельного народного творчества, среди которых: 65 хореографических коллективов, 56 вокальных коллективов, 14 инструментальных коллективов, 9 театральных коллективов, </w:t>
      </w:r>
      <w:r w:rsidR="005E55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E5581">
        <w:rPr>
          <w:rFonts w:ascii="Times New Roman" w:hAnsi="Times New Roman" w:cs="Times New Roman"/>
          <w:sz w:val="28"/>
          <w:szCs w:val="28"/>
        </w:rPr>
        <w:t>15 фольклорных коллектива, 9 коллективов ИЗО, 10 коллективов ДПИ, прочие жанры представлены 8 коллективами.</w:t>
      </w:r>
    </w:p>
    <w:p w:rsidR="003106DB" w:rsidRPr="005E5581" w:rsidRDefault="003106DB" w:rsidP="00532715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Число учащихся в музыкальных, художественных школах и школе искусств составляет 1802 чел.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По Централизованной библиотечной системе за 12 месяцев 2024 г. количество читателей составило – 56 112 чел.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Количество удовлетворенных информационных запросов за 12 месяцев 2024 г. составило 1 258 992, в т. ч.  книговыдача –1 236 508 экз.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Фонды библиотек за 12 месяцев 2024 г. пополнились на 4 287 экземпляров (1 436 150,10 руб.), за счет местного бюджета (895 экз./ 463 271,42 руб.), внебюджетных средств (2 324 экз./ 262 973,08 руб.), областной бюджет (1068 экз./ 709 905,60 руб.).</w:t>
      </w:r>
    </w:p>
    <w:p w:rsidR="003106DB" w:rsidRPr="005E5581" w:rsidRDefault="003106DB" w:rsidP="00D66B70">
      <w:pPr>
        <w:pStyle w:val="af"/>
        <w:widowControl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Сотрудниками библиотек за 12 месяцев 2024 г. проведено 2 994 мероприятий. Число посетителей мероприятий составило 180 176 чел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В КВЦ «Вернисаж» за 12 месяцев 2024 года экспонировалось 37 выставок. Работниками КВЦ проведено 1654 культурно - досуговых мероприятий, в том числе 534 экскурсии, число посещений составило 44418 человек, в том числе 19529 – благотворительно.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Значимые выставки: </w:t>
      </w:r>
    </w:p>
    <w:p w:rsidR="00D66B70" w:rsidRDefault="003106DB" w:rsidP="00D66B70">
      <w:pPr>
        <w:pStyle w:val="af"/>
        <w:widowControl w:val="0"/>
        <w:spacing w:before="0" w:before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1.</w:t>
      </w:r>
      <w:r w:rsidRPr="005E5581">
        <w:rPr>
          <w:rFonts w:ascii="Times New Roman" w:hAnsi="Times New Roman" w:cs="Times New Roman"/>
          <w:sz w:val="28"/>
          <w:szCs w:val="28"/>
        </w:rPr>
        <w:tab/>
        <w:t xml:space="preserve">Персональная выставка графики Сергея Цигаля,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(12.01.2024- 19.02.2024г.);</w:t>
      </w:r>
    </w:p>
    <w:p w:rsidR="003106DB" w:rsidRPr="005E5581" w:rsidRDefault="003106DB" w:rsidP="00D66B70">
      <w:pPr>
        <w:pStyle w:val="af"/>
        <w:widowControl w:val="0"/>
        <w:spacing w:before="0" w:before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2.</w:t>
      </w:r>
      <w:r w:rsidRPr="005E5581">
        <w:rPr>
          <w:rFonts w:ascii="Times New Roman" w:hAnsi="Times New Roman" w:cs="Times New Roman"/>
          <w:sz w:val="28"/>
          <w:szCs w:val="28"/>
        </w:rPr>
        <w:tab/>
        <w:t xml:space="preserve">Персональная юбилейная фотовыставка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Галляутдина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Равилова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«Жизнь в фотографиях», г. Прокопьевск (26.01.2024 - 24.02.2024 г.); </w:t>
      </w:r>
    </w:p>
    <w:p w:rsidR="003106DB" w:rsidRPr="005E5581" w:rsidRDefault="003106DB" w:rsidP="00D66B70">
      <w:pPr>
        <w:pStyle w:val="af"/>
        <w:widowControl w:val="0"/>
        <w:spacing w:before="0" w:before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3.</w:t>
      </w:r>
      <w:r w:rsidRPr="005E5581">
        <w:rPr>
          <w:rFonts w:ascii="Times New Roman" w:hAnsi="Times New Roman" w:cs="Times New Roman"/>
          <w:sz w:val="28"/>
          <w:szCs w:val="28"/>
        </w:rPr>
        <w:tab/>
        <w:t xml:space="preserve">Персональная выставка «Цветы Надежды» Надежды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Спекторовой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>, г. Кемерово (06.03.2024 – 20.04.2024 г.)</w:t>
      </w:r>
    </w:p>
    <w:p w:rsidR="003106DB" w:rsidRPr="005E5581" w:rsidRDefault="003106DB" w:rsidP="00D66B70">
      <w:pPr>
        <w:pStyle w:val="af"/>
        <w:widowControl w:val="0"/>
        <w:spacing w:before="0" w:before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4.</w:t>
      </w:r>
      <w:r w:rsidRPr="005E5581">
        <w:rPr>
          <w:rFonts w:ascii="Times New Roman" w:hAnsi="Times New Roman" w:cs="Times New Roman"/>
          <w:sz w:val="28"/>
          <w:szCs w:val="28"/>
        </w:rPr>
        <w:tab/>
        <w:t xml:space="preserve">Выставка «Воины Свободы. Освобождение», посвящённая специальной военной операции и другим периодам военной истории Советского Союза и </w:t>
      </w:r>
      <w:proofErr w:type="gramStart"/>
      <w:r w:rsidRPr="005E5581">
        <w:rPr>
          <w:rFonts w:ascii="Times New Roman" w:hAnsi="Times New Roman" w:cs="Times New Roman"/>
          <w:sz w:val="28"/>
          <w:szCs w:val="28"/>
        </w:rPr>
        <w:t xml:space="preserve">России, </w:t>
      </w:r>
      <w:r w:rsidR="00D66B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66B7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E5581">
        <w:rPr>
          <w:rFonts w:ascii="Times New Roman" w:hAnsi="Times New Roman" w:cs="Times New Roman"/>
          <w:sz w:val="28"/>
          <w:szCs w:val="28"/>
        </w:rPr>
        <w:t>г. Москва (14.03.2024 - 01.04.2024 г.)</w:t>
      </w:r>
    </w:p>
    <w:p w:rsidR="003106DB" w:rsidRPr="005E5581" w:rsidRDefault="003106DB" w:rsidP="00D66B70">
      <w:pPr>
        <w:pStyle w:val="af"/>
        <w:widowControl w:val="0"/>
        <w:spacing w:before="0" w:before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5.</w:t>
      </w:r>
      <w:r w:rsidRPr="005E5581">
        <w:rPr>
          <w:rFonts w:ascii="Times New Roman" w:hAnsi="Times New Roman" w:cs="Times New Roman"/>
          <w:sz w:val="28"/>
          <w:szCs w:val="28"/>
        </w:rPr>
        <w:tab/>
        <w:t xml:space="preserve">Региональная выставка-конкурс изделий мастеров -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куклоделов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«Кукла. Традиции и современность», г. Кемерово (4 .04.2024 - 22.05.2024 г.)</w:t>
      </w:r>
    </w:p>
    <w:p w:rsidR="003106DB" w:rsidRPr="005E5581" w:rsidRDefault="003106DB" w:rsidP="00D66B70">
      <w:pPr>
        <w:pStyle w:val="af"/>
        <w:widowControl w:val="0"/>
        <w:spacing w:before="0" w:before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6.</w:t>
      </w:r>
      <w:r w:rsidRPr="005E5581">
        <w:rPr>
          <w:rFonts w:ascii="Times New Roman" w:hAnsi="Times New Roman" w:cs="Times New Roman"/>
          <w:sz w:val="28"/>
          <w:szCs w:val="28"/>
        </w:rPr>
        <w:tab/>
        <w:t>Выставка «Витебская акварель», г. Витебск, Республика Беларусь (22.08.2024 - 29.09.2024 г.)</w:t>
      </w:r>
    </w:p>
    <w:p w:rsidR="003106DB" w:rsidRPr="005E5581" w:rsidRDefault="003106DB" w:rsidP="00D66B70">
      <w:pPr>
        <w:pStyle w:val="af"/>
        <w:widowControl w:val="0"/>
        <w:spacing w:before="0" w:before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7.</w:t>
      </w:r>
      <w:r w:rsidRPr="005E5581">
        <w:rPr>
          <w:rFonts w:ascii="Times New Roman" w:hAnsi="Times New Roman" w:cs="Times New Roman"/>
          <w:sz w:val="28"/>
          <w:szCs w:val="28"/>
        </w:rPr>
        <w:tab/>
        <w:t>Выставка работ Вальдемара Бурмакина и Ольги Мальцевой «Свет любимых окон»,</w:t>
      </w:r>
      <w:r w:rsidR="0049145F" w:rsidRPr="005E5581">
        <w:rPr>
          <w:rFonts w:ascii="Times New Roman" w:hAnsi="Times New Roman" w:cs="Times New Roman"/>
          <w:sz w:val="28"/>
          <w:szCs w:val="28"/>
        </w:rPr>
        <w:t xml:space="preserve"> </w:t>
      </w:r>
      <w:r w:rsidRPr="005E5581">
        <w:rPr>
          <w:rFonts w:ascii="Times New Roman" w:hAnsi="Times New Roman" w:cs="Times New Roman"/>
          <w:sz w:val="28"/>
          <w:szCs w:val="28"/>
        </w:rPr>
        <w:t>г. Кемерово (20.08.2024 - 25.09.2024 г.)</w:t>
      </w:r>
    </w:p>
    <w:p w:rsidR="003106DB" w:rsidRPr="005E5581" w:rsidRDefault="003106DB" w:rsidP="00D66B70">
      <w:pPr>
        <w:pStyle w:val="af"/>
        <w:widowControl w:val="0"/>
        <w:spacing w:before="0" w:before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8.</w:t>
      </w:r>
      <w:r w:rsidRPr="005E5581">
        <w:rPr>
          <w:rFonts w:ascii="Times New Roman" w:hAnsi="Times New Roman" w:cs="Times New Roman"/>
          <w:sz w:val="28"/>
          <w:szCs w:val="28"/>
        </w:rPr>
        <w:tab/>
        <w:t xml:space="preserve">Выставка произведений художников Якутии «Земля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Олонхо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>», г. Якутск, Республика Саха (30.09.2024 - 04.11.2024 г.)</w:t>
      </w:r>
    </w:p>
    <w:p w:rsidR="003106DB" w:rsidRPr="005E5581" w:rsidRDefault="003106DB" w:rsidP="00D66B70">
      <w:pPr>
        <w:pStyle w:val="af"/>
        <w:widowControl w:val="0"/>
        <w:spacing w:before="0" w:beforeAutospacing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9.</w:t>
      </w:r>
      <w:r w:rsidRPr="005E5581">
        <w:rPr>
          <w:rFonts w:ascii="Times New Roman" w:hAnsi="Times New Roman" w:cs="Times New Roman"/>
          <w:sz w:val="28"/>
          <w:szCs w:val="28"/>
        </w:rPr>
        <w:tab/>
        <w:t>Выставка литографий и гравюр «Очарования Делакруа», г. Москва (07.11.2024 - 15.12.2024 г.)</w:t>
      </w:r>
    </w:p>
    <w:p w:rsidR="003106DB" w:rsidRPr="005E5581" w:rsidRDefault="003106DB" w:rsidP="00D66B70">
      <w:pPr>
        <w:pStyle w:val="af"/>
        <w:widowControl w:val="0"/>
        <w:spacing w:before="0" w:beforeAutospacing="0" w:after="240" w:afterAutospacing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10.</w:t>
      </w:r>
      <w:r w:rsidR="0049145F" w:rsidRPr="005E5581">
        <w:rPr>
          <w:rFonts w:ascii="Times New Roman" w:hAnsi="Times New Roman" w:cs="Times New Roman"/>
          <w:sz w:val="28"/>
          <w:szCs w:val="28"/>
        </w:rPr>
        <w:t xml:space="preserve"> </w:t>
      </w:r>
      <w:r w:rsidRPr="005E5581">
        <w:rPr>
          <w:rFonts w:ascii="Times New Roman" w:hAnsi="Times New Roman" w:cs="Times New Roman"/>
          <w:sz w:val="28"/>
          <w:szCs w:val="28"/>
        </w:rPr>
        <w:t xml:space="preserve">Персональная выставка работ Любови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Арбачаковой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«Путем подснежников иду</w:t>
      </w:r>
      <w:proofErr w:type="gramStart"/>
      <w:r w:rsidRPr="005E5581">
        <w:rPr>
          <w:rFonts w:ascii="Times New Roman" w:hAnsi="Times New Roman" w:cs="Times New Roman"/>
          <w:sz w:val="28"/>
          <w:szCs w:val="28"/>
        </w:rPr>
        <w:t>»,</w:t>
      </w:r>
      <w:r w:rsidR="0049145F" w:rsidRPr="005E5581">
        <w:rPr>
          <w:rFonts w:ascii="Times New Roman" w:hAnsi="Times New Roman" w:cs="Times New Roman"/>
          <w:sz w:val="28"/>
          <w:szCs w:val="28"/>
        </w:rPr>
        <w:t xml:space="preserve"> </w:t>
      </w:r>
      <w:r w:rsidR="00D66B7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D66B70">
        <w:rPr>
          <w:rFonts w:ascii="Times New Roman" w:hAnsi="Times New Roman" w:cs="Times New Roman"/>
          <w:sz w:val="28"/>
          <w:szCs w:val="28"/>
        </w:rPr>
        <w:t xml:space="preserve"> </w:t>
      </w:r>
      <w:r w:rsidRPr="005E5581">
        <w:rPr>
          <w:rFonts w:ascii="Times New Roman" w:hAnsi="Times New Roman" w:cs="Times New Roman"/>
          <w:sz w:val="28"/>
          <w:szCs w:val="28"/>
        </w:rPr>
        <w:t>г. Таштагол (17.12.2024 - 31.01.2025 г.)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Городским краеведческим музеем за 12 месяцев 2024 года открыто 46 выставок, в т.ч. выездные выставки – 20. Проведено 1193 экскурсий, 163 консультации, </w:t>
      </w:r>
      <w:r w:rsidR="005E558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E5581">
        <w:rPr>
          <w:rFonts w:ascii="Times New Roman" w:hAnsi="Times New Roman" w:cs="Times New Roman"/>
          <w:sz w:val="28"/>
          <w:szCs w:val="28"/>
        </w:rPr>
        <w:t>678 мероприятий (лекции, музейные уроки, обряды, тематические мероприятия), всего обслужено 49600 чел., в том числе благотворительно обслужено 24 000 чел. Платных услуг оказано на 1 302 000 руб.</w:t>
      </w:r>
    </w:p>
    <w:p w:rsidR="003106DB" w:rsidRPr="005E5581" w:rsidRDefault="003106DB" w:rsidP="009C4C60">
      <w:pPr>
        <w:pStyle w:val="af"/>
        <w:widowControl w:val="0"/>
        <w:spacing w:before="0" w:beforeAutospacing="0" w:after="24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 Во Дворцах культуры стабильно работают самодеятельные коллективы и досуговые формирования, проводятся мероприятия для всех категорий населения. Творческие коллективы и исполнители принимают активное участие в конкурсах и фестивалях различного уровня.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581">
        <w:rPr>
          <w:rFonts w:ascii="Times New Roman" w:hAnsi="Times New Roman" w:cs="Times New Roman"/>
          <w:b/>
          <w:bCs/>
          <w:sz w:val="28"/>
          <w:szCs w:val="28"/>
        </w:rPr>
        <w:t>Городские мероприятия.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В 2024 году в городе прошло 6 472 культурно-массовых мероприятий, в их числе – 270 значимых городских.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торжественный прием главы г. Прокопьевска, посвященный присвоению звания «Человек года 2023»;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митинги и торжественные мероприятия в Парке Победы;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финал городского фестиваля солдатской песни «Пусть память говорит»;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 -городской и районные праздники Масленица;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митинги и праздничные мероприятия, посвященные Дню Победы;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циклы мероприятий, посвященные 23 февраля, 8 марта; 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Арбат»; 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День призывника;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праздники, посвященные Дню независимости России;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ретро-парад автомобилей; митинги и возложение цветов в День памяти и скорби;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IV Международный праздник «</w:t>
      </w:r>
      <w:r w:rsidR="0049145F" w:rsidRPr="005E5581">
        <w:rPr>
          <w:rFonts w:ascii="Times New Roman" w:hAnsi="Times New Roman" w:cs="Times New Roman"/>
          <w:sz w:val="28"/>
          <w:szCs w:val="28"/>
        </w:rPr>
        <w:t>Шахтёрский Сабантуй</w:t>
      </w:r>
      <w:r w:rsidRPr="005E5581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фестиваль парковой культуры «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ПРОпикник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зимний праздник «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ПроЙетины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забавы»;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III открытый городской фестиваль музыки и ремесел «Золотые купола»;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международная открытая сертификатная выставка собак;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городской праздник, посвященный Дню города и Дню шахтера;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- подведение итогов года «Браво, дети!»;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торжественное открытие стелы «Город трудовой доблести!»;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открытие городских Новогодних елок и ледовых городков;</w:t>
      </w:r>
    </w:p>
    <w:p w:rsidR="003106DB" w:rsidRPr="005E5581" w:rsidRDefault="003106DB" w:rsidP="006452AD">
      <w:pPr>
        <w:pStyle w:val="af"/>
        <w:widowControl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-  городской конкурс «Контур» и другие.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Число посещений составило 1 269 372 чел. Ведется активная работа по программе «Пушкинская карта» в период с 01.01.2024</w:t>
      </w:r>
      <w:r w:rsidR="0049145F" w:rsidRPr="005E5581">
        <w:rPr>
          <w:rFonts w:ascii="Times New Roman" w:hAnsi="Times New Roman" w:cs="Times New Roman"/>
          <w:sz w:val="28"/>
          <w:szCs w:val="28"/>
        </w:rPr>
        <w:t xml:space="preserve"> </w:t>
      </w:r>
      <w:r w:rsidRPr="005E5581">
        <w:rPr>
          <w:rFonts w:ascii="Times New Roman" w:hAnsi="Times New Roman" w:cs="Times New Roman"/>
          <w:sz w:val="28"/>
          <w:szCs w:val="28"/>
        </w:rPr>
        <w:t>г. по 31.12.2024</w:t>
      </w:r>
      <w:r w:rsidR="0049145F" w:rsidRPr="005E5581">
        <w:rPr>
          <w:rFonts w:ascii="Times New Roman" w:hAnsi="Times New Roman" w:cs="Times New Roman"/>
          <w:sz w:val="28"/>
          <w:szCs w:val="28"/>
        </w:rPr>
        <w:t xml:space="preserve"> </w:t>
      </w:r>
      <w:r w:rsidRPr="005E5581">
        <w:rPr>
          <w:rFonts w:ascii="Times New Roman" w:hAnsi="Times New Roman" w:cs="Times New Roman"/>
          <w:sz w:val="28"/>
          <w:szCs w:val="28"/>
        </w:rPr>
        <w:t xml:space="preserve">г. было 945 </w:t>
      </w:r>
      <w:r w:rsidR="0049145F" w:rsidRPr="005E5581">
        <w:rPr>
          <w:rFonts w:ascii="Times New Roman" w:hAnsi="Times New Roman" w:cs="Times New Roman"/>
          <w:sz w:val="28"/>
          <w:szCs w:val="28"/>
        </w:rPr>
        <w:t>проведено мероприятий</w:t>
      </w:r>
      <w:r w:rsidRPr="005E5581">
        <w:rPr>
          <w:rFonts w:ascii="Times New Roman" w:hAnsi="Times New Roman" w:cs="Times New Roman"/>
          <w:sz w:val="28"/>
          <w:szCs w:val="28"/>
        </w:rPr>
        <w:t xml:space="preserve">, посетило </w:t>
      </w:r>
      <w:r w:rsidR="0049145F" w:rsidRPr="005E5581">
        <w:rPr>
          <w:rFonts w:ascii="Times New Roman" w:hAnsi="Times New Roman" w:cs="Times New Roman"/>
          <w:sz w:val="28"/>
          <w:szCs w:val="28"/>
        </w:rPr>
        <w:t>их 28 </w:t>
      </w:r>
      <w:r w:rsidRPr="005E5581">
        <w:rPr>
          <w:rFonts w:ascii="Times New Roman" w:hAnsi="Times New Roman" w:cs="Times New Roman"/>
          <w:sz w:val="28"/>
          <w:szCs w:val="28"/>
        </w:rPr>
        <w:t>449</w:t>
      </w:r>
      <w:r w:rsidR="0049145F" w:rsidRPr="005E5581">
        <w:rPr>
          <w:rFonts w:ascii="Times New Roman" w:hAnsi="Times New Roman" w:cs="Times New Roman"/>
          <w:sz w:val="28"/>
          <w:szCs w:val="28"/>
        </w:rPr>
        <w:t xml:space="preserve"> </w:t>
      </w:r>
      <w:r w:rsidRPr="005E5581">
        <w:rPr>
          <w:rFonts w:ascii="Times New Roman" w:hAnsi="Times New Roman" w:cs="Times New Roman"/>
          <w:sz w:val="28"/>
          <w:szCs w:val="28"/>
        </w:rPr>
        <w:t>человек. Затраты на проведение городских мероприятий составили: 19, 3 млн. руб.: из местного бюджета – 18, 9 тыс. руб.; из внебюджетных средств – 0, 4 млн. руб.</w:t>
      </w:r>
    </w:p>
    <w:p w:rsidR="003106DB" w:rsidRPr="005E5581" w:rsidRDefault="003106DB" w:rsidP="006452AD">
      <w:pPr>
        <w:pStyle w:val="af"/>
        <w:widowControl w:val="0"/>
        <w:spacing w:before="240" w:before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За 12 месяцев 2024 г. работники культуры города и  учащиеся образовательных учреждений культуры приняли участие в 415 значимых фестивалях и конкурсах:</w:t>
      </w:r>
      <w:r w:rsidR="0049145F" w:rsidRPr="005E5581">
        <w:rPr>
          <w:rFonts w:ascii="Times New Roman" w:hAnsi="Times New Roman" w:cs="Times New Roman"/>
          <w:sz w:val="28"/>
          <w:szCs w:val="28"/>
        </w:rPr>
        <w:t xml:space="preserve"> </w:t>
      </w:r>
      <w:r w:rsidRPr="005E5581">
        <w:rPr>
          <w:rFonts w:ascii="Times New Roman" w:hAnsi="Times New Roman" w:cs="Times New Roman"/>
          <w:sz w:val="28"/>
          <w:szCs w:val="28"/>
        </w:rPr>
        <w:t xml:space="preserve">127 Международных, 107 Всероссийских, 63 региональных, 74  областных, 2 зональных и 42 открытых городских.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5581"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Бренд Кузбасса народный самодеятельный коллектив ансамбль народного танца «Сибирские выкрутасы» дистанционно принял участие в Международном фестивале-конкурсе «Планета искусств» и получил из Пекина </w:t>
      </w:r>
      <w:r w:rsidR="0049145F" w:rsidRPr="005E5581">
        <w:rPr>
          <w:rFonts w:ascii="Times New Roman" w:hAnsi="Times New Roman" w:cs="Times New Roman"/>
          <w:sz w:val="28"/>
          <w:szCs w:val="28"/>
        </w:rPr>
        <w:t>диплом Лауреата</w:t>
      </w:r>
      <w:r w:rsidRPr="005E5581">
        <w:rPr>
          <w:rFonts w:ascii="Times New Roman" w:hAnsi="Times New Roman" w:cs="Times New Roman"/>
          <w:sz w:val="28"/>
          <w:szCs w:val="28"/>
        </w:rPr>
        <w:t xml:space="preserve"> I степени. </w:t>
      </w:r>
      <w:r w:rsidR="0049145F" w:rsidRPr="005E5581">
        <w:rPr>
          <w:rFonts w:ascii="Times New Roman" w:hAnsi="Times New Roman" w:cs="Times New Roman"/>
          <w:sz w:val="28"/>
          <w:szCs w:val="28"/>
        </w:rPr>
        <w:t>На конкурсе</w:t>
      </w:r>
      <w:r w:rsidRPr="005E5581">
        <w:rPr>
          <w:rFonts w:ascii="Times New Roman" w:hAnsi="Times New Roman" w:cs="Times New Roman"/>
          <w:sz w:val="28"/>
          <w:szCs w:val="28"/>
        </w:rPr>
        <w:t xml:space="preserve">-фестивале «Новые имена» в Томске образцовый самодеятельный коллектив ансамбль народного </w:t>
      </w:r>
      <w:r w:rsidR="0049145F" w:rsidRPr="005E5581">
        <w:rPr>
          <w:rFonts w:ascii="Times New Roman" w:hAnsi="Times New Roman" w:cs="Times New Roman"/>
          <w:sz w:val="28"/>
          <w:szCs w:val="28"/>
        </w:rPr>
        <w:t>танца «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Сибиряночка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» был награжден дипломом Лауреата II степени.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 На VII Международном хореографическом конкурсе «Национальный танцевальный конгресс» в Казани ансамбль народного танца «Сибирский каблучок» дважды стал Лауреатом I степени и получил специальный диплом жюри. В </w:t>
      </w:r>
      <w:r w:rsidR="0049145F" w:rsidRPr="005E5581">
        <w:rPr>
          <w:rFonts w:ascii="Times New Roman" w:hAnsi="Times New Roman" w:cs="Times New Roman"/>
          <w:sz w:val="28"/>
          <w:szCs w:val="28"/>
        </w:rPr>
        <w:t xml:space="preserve">г. </w:t>
      </w:r>
      <w:r w:rsidRPr="005E5581">
        <w:rPr>
          <w:rFonts w:ascii="Times New Roman" w:hAnsi="Times New Roman" w:cs="Times New Roman"/>
          <w:sz w:val="28"/>
          <w:szCs w:val="28"/>
        </w:rPr>
        <w:t>Кемеров</w:t>
      </w:r>
      <w:r w:rsidR="0049145F" w:rsidRPr="005E5581">
        <w:rPr>
          <w:rFonts w:ascii="Times New Roman" w:hAnsi="Times New Roman" w:cs="Times New Roman"/>
          <w:sz w:val="28"/>
          <w:szCs w:val="28"/>
        </w:rPr>
        <w:t>о</w:t>
      </w:r>
      <w:r w:rsidRPr="005E5581">
        <w:rPr>
          <w:rFonts w:ascii="Times New Roman" w:hAnsi="Times New Roman" w:cs="Times New Roman"/>
          <w:sz w:val="28"/>
          <w:szCs w:val="28"/>
        </w:rPr>
        <w:t xml:space="preserve"> образцовый самодеятельный коллектив ансамбль народного танца «Метелица» в финале всероссийского фестиваля-конкурса хореографических коллективов «Танцуй Сибирь» получил диплом Лауреата I степени. На Всероссийском фестивале-конкурсе «Крылья» в Новосибирске</w:t>
      </w:r>
      <w:r w:rsidR="0049145F" w:rsidRPr="005E5581">
        <w:rPr>
          <w:rFonts w:ascii="Times New Roman" w:hAnsi="Times New Roman" w:cs="Times New Roman"/>
          <w:sz w:val="28"/>
          <w:szCs w:val="28"/>
        </w:rPr>
        <w:t xml:space="preserve"> </w:t>
      </w:r>
      <w:r w:rsidRPr="005E5581">
        <w:rPr>
          <w:rFonts w:ascii="Times New Roman" w:hAnsi="Times New Roman" w:cs="Times New Roman"/>
          <w:sz w:val="28"/>
          <w:szCs w:val="28"/>
        </w:rPr>
        <w:t xml:space="preserve">самые маленькие участники студии народного танца «Узоры» получили четыре диплома Лауреата I степени.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В Москве ансамбль танца «Счастливое </w:t>
      </w:r>
      <w:r w:rsidR="0049145F" w:rsidRPr="005E5581">
        <w:rPr>
          <w:rFonts w:ascii="Times New Roman" w:hAnsi="Times New Roman" w:cs="Times New Roman"/>
          <w:sz w:val="28"/>
          <w:szCs w:val="28"/>
        </w:rPr>
        <w:t>детство» стал</w:t>
      </w:r>
      <w:r w:rsidRPr="005E5581">
        <w:rPr>
          <w:rFonts w:ascii="Times New Roman" w:hAnsi="Times New Roman" w:cs="Times New Roman"/>
          <w:sz w:val="28"/>
          <w:szCs w:val="28"/>
        </w:rPr>
        <w:t xml:space="preserve"> обладателем ГРАН-ПРИ на международном фестивале-конкурсе «Москва верит талантам».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Образцовый самодеятельный коллектив студия эстрадной песни «Мармеладки» выиграл ГРАН-ПРИ на международном конкурсе-фестивале детского, юношеского и взрослого творчества «Овация» в Сочи.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2024 год стал победным для детского ансамбля ложкарей «Сибирский наигрыш». Коллектив дважды был удостоен ГРАН-ПРИ в Москве, выиграв в суперфинале Международного конкурса-фестиваля многожанрового искусства и на международном творческом конкурсе-фестивале вокального и инструментального творчества «Родная страна», «Стремление».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Ансамбль танца «Ясенки» стал обладателем ГРАН-ПРИ и двух дипломов </w:t>
      </w:r>
      <w:r w:rsidR="0049145F" w:rsidRPr="005E5581">
        <w:rPr>
          <w:rFonts w:ascii="Times New Roman" w:hAnsi="Times New Roman" w:cs="Times New Roman"/>
          <w:sz w:val="28"/>
          <w:szCs w:val="28"/>
        </w:rPr>
        <w:t>лауреата I</w:t>
      </w:r>
      <w:r w:rsidRPr="005E5581">
        <w:rPr>
          <w:rFonts w:ascii="Times New Roman" w:hAnsi="Times New Roman" w:cs="Times New Roman"/>
          <w:sz w:val="28"/>
          <w:szCs w:val="28"/>
        </w:rPr>
        <w:t xml:space="preserve"> степени на международном конкурсе-фестивале «Белые крылья» в Новосибирске.</w:t>
      </w:r>
    </w:p>
    <w:p w:rsidR="003106DB" w:rsidRPr="005E5581" w:rsidRDefault="003106DB" w:rsidP="006452AD">
      <w:pPr>
        <w:pStyle w:val="af"/>
        <w:widowControl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Прокопьевск дал старт в области креативных технологий. 2 сентября на базе </w:t>
      </w:r>
      <w:r w:rsidR="0049145F" w:rsidRPr="005E558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E5581">
        <w:rPr>
          <w:rFonts w:ascii="Times New Roman" w:hAnsi="Times New Roman" w:cs="Times New Roman"/>
          <w:sz w:val="28"/>
          <w:szCs w:val="28"/>
        </w:rPr>
        <w:t xml:space="preserve"> МАУ ДО «Детской </w:t>
      </w:r>
      <w:r w:rsidR="0049145F" w:rsidRPr="005E5581">
        <w:rPr>
          <w:rFonts w:ascii="Times New Roman" w:hAnsi="Times New Roman" w:cs="Times New Roman"/>
          <w:sz w:val="28"/>
          <w:szCs w:val="28"/>
        </w:rPr>
        <w:t>художественной школы</w:t>
      </w:r>
      <w:r w:rsidRPr="005E5581">
        <w:rPr>
          <w:rFonts w:ascii="Times New Roman" w:hAnsi="Times New Roman" w:cs="Times New Roman"/>
          <w:sz w:val="28"/>
          <w:szCs w:val="28"/>
        </w:rPr>
        <w:t xml:space="preserve"> № 8» открылась третья в Кузбассе Школа креативных индустрий. Она создана при поддержке Министерства культуры Российской Федерации в рамках федерального проекта «Придумано в России». В школе царит вдохновляющая среда, позволяющая раскрыть творческий потенциал и обрести практические навыки при создании анимации и 3D-графики, постижении интерактивных цифровых технологий; изучении графического дизайна, звукорежиссуры, фото- и видеопроизводства. В учреждении созданы условия для детей с ограниченными возможностями здоровья.</w:t>
      </w:r>
    </w:p>
    <w:p w:rsidR="003106DB" w:rsidRPr="005E5581" w:rsidRDefault="003106DB" w:rsidP="006452AD">
      <w:pPr>
        <w:pStyle w:val="af"/>
        <w:widowControl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Финалом национального проекта «Культура» стало поступление новых музыкальных инструментов </w:t>
      </w:r>
      <w:r w:rsidR="0049145F" w:rsidRPr="005E5581">
        <w:rPr>
          <w:rFonts w:ascii="Times New Roman" w:hAnsi="Times New Roman" w:cs="Times New Roman"/>
          <w:sz w:val="28"/>
          <w:szCs w:val="28"/>
        </w:rPr>
        <w:t>в МАУ</w:t>
      </w:r>
      <w:r w:rsidRPr="005E5581">
        <w:rPr>
          <w:rFonts w:ascii="Times New Roman" w:hAnsi="Times New Roman" w:cs="Times New Roman"/>
          <w:sz w:val="28"/>
          <w:szCs w:val="28"/>
        </w:rPr>
        <w:t xml:space="preserve"> ДО «Детская музыкальная школа № 57». 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Победа учреждений культуры в грантовых конкурсах:</w:t>
      </w:r>
    </w:p>
    <w:p w:rsidR="003106DB" w:rsidRPr="005E5581" w:rsidRDefault="003106DB" w:rsidP="0049145F">
      <w:pPr>
        <w:pStyle w:val="af"/>
        <w:widowControl w:val="0"/>
        <w:spacing w:before="0" w:beforeAutospacing="0" w:after="24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Прокопьевский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городской краеведческий музей стал победителем гранта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уровне». Создана мобильная музейная экспозиция, посвященная татарским династиям г. Прокопьевска и </w:t>
      </w:r>
      <w:r w:rsidR="005E55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E5581">
        <w:rPr>
          <w:rFonts w:ascii="Times New Roman" w:hAnsi="Times New Roman" w:cs="Times New Roman"/>
          <w:sz w:val="28"/>
          <w:szCs w:val="28"/>
        </w:rPr>
        <w:t>г. Горловка. Направлено на проект 645 тыс. руб., в т.ч. областной бюджет – 600, 0 тыс. руб.; местный бюджет – 45,2 тыс. руб.</w:t>
      </w:r>
    </w:p>
    <w:p w:rsidR="003106DB" w:rsidRPr="005E5581" w:rsidRDefault="003106DB" w:rsidP="0049145F">
      <w:pPr>
        <w:pStyle w:val="af"/>
        <w:widowControl w:val="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Проект «Библиотека «Планета книг» - площадка для социализации семей с детьми с ограниченными возможностями здоровья» стал победителям грантового конкурса Благотворительного Фонда Елены и Геннадия Тимченко. Сумма гранта </w:t>
      </w:r>
      <w:r w:rsidR="0049145F" w:rsidRPr="005E5581">
        <w:rPr>
          <w:rFonts w:ascii="Times New Roman" w:hAnsi="Times New Roman" w:cs="Times New Roman"/>
          <w:sz w:val="28"/>
          <w:szCs w:val="28"/>
        </w:rPr>
        <w:t>составила 372</w:t>
      </w:r>
      <w:r w:rsidRPr="005E5581">
        <w:rPr>
          <w:rFonts w:ascii="Times New Roman" w:hAnsi="Times New Roman" w:cs="Times New Roman"/>
          <w:sz w:val="28"/>
          <w:szCs w:val="28"/>
        </w:rPr>
        <w:t>,4 тыс. руб. Приобретено оборудование для кукольного театра (ширма, подставка для кукол, декорации), кукольный театр, книги.</w:t>
      </w:r>
    </w:p>
    <w:p w:rsidR="003106DB" w:rsidRPr="005E5581" w:rsidRDefault="003106DB" w:rsidP="0049145F">
      <w:pPr>
        <w:pStyle w:val="af"/>
        <w:widowControl w:val="0"/>
        <w:spacing w:before="200" w:beforeAutospacing="0" w:after="20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Проект «Создание школы ремесел «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Прокопьевская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 береста» культурно-выставочного центра «Вернисаж» выиграл грант Благотворительного Фонда Андрея Мельниченко. Сумма гранта составила 465,5 тыс. руб.</w:t>
      </w:r>
    </w:p>
    <w:p w:rsidR="003106DB" w:rsidRPr="005E5581" w:rsidRDefault="003106DB" w:rsidP="009C1BE9">
      <w:pPr>
        <w:pStyle w:val="af"/>
        <w:widowControl w:val="0"/>
        <w:spacing w:before="0" w:beforeAutospacing="0"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Гранты Главы города:</w:t>
      </w:r>
    </w:p>
    <w:p w:rsidR="003106DB" w:rsidRPr="005E5581" w:rsidRDefault="003106DB" w:rsidP="007412A7">
      <w:pPr>
        <w:pStyle w:val="af"/>
        <w:widowControl w:val="0"/>
        <w:numPr>
          <w:ilvl w:val="0"/>
          <w:numId w:val="29"/>
        </w:numPr>
        <w:spacing w:before="0" w:beforeAutospacing="0"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на выплату стипендии «Юные таланты Прокопьевска» в размере 517,2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3106DB" w:rsidRPr="005E5581" w:rsidRDefault="003106DB" w:rsidP="007412A7">
      <w:pPr>
        <w:pStyle w:val="af"/>
        <w:widowControl w:val="0"/>
        <w:numPr>
          <w:ilvl w:val="0"/>
          <w:numId w:val="29"/>
        </w:numPr>
        <w:spacing w:before="0" w:beforeAutospacing="0" w:after="0" w:line="276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материальное поощрение участников ансамбля танца «Сибирские выкрутасы» ДК им. Артема в размере 1380,0</w:t>
      </w:r>
      <w:r w:rsidR="007412A7" w:rsidRPr="005E5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>.;</w:t>
      </w:r>
    </w:p>
    <w:p w:rsidR="003A6F06" w:rsidRPr="005E5581" w:rsidRDefault="003106DB" w:rsidP="007412A7">
      <w:pPr>
        <w:pStyle w:val="af"/>
        <w:widowControl w:val="0"/>
        <w:numPr>
          <w:ilvl w:val="0"/>
          <w:numId w:val="29"/>
        </w:numPr>
        <w:spacing w:before="0" w:beforeAutospacing="0" w:after="0" w:afterAutospacing="0" w:line="276" w:lineRule="auto"/>
        <w:ind w:left="0"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материальное поощрение участников оркестра народных инструментов 1215,0 </w:t>
      </w:r>
      <w:proofErr w:type="spellStart"/>
      <w:r w:rsidRPr="005E558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E5581">
        <w:rPr>
          <w:rFonts w:ascii="Times New Roman" w:hAnsi="Times New Roman" w:cs="Times New Roman"/>
          <w:sz w:val="28"/>
          <w:szCs w:val="28"/>
        </w:rPr>
        <w:t>.</w:t>
      </w:r>
    </w:p>
    <w:p w:rsidR="007412A7" w:rsidRPr="005E5581" w:rsidRDefault="007412A7" w:rsidP="003A6F06">
      <w:pPr>
        <w:widowControl w:val="0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6F06" w:rsidRPr="005E5581" w:rsidRDefault="003A6F06" w:rsidP="003A6F06">
      <w:pPr>
        <w:widowControl w:val="0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b/>
          <w:bCs/>
          <w:sz w:val="28"/>
          <w:szCs w:val="28"/>
        </w:rPr>
        <w:t>ФИЗИЧЕСКАЯ КУЛЬТУРА И СПОРТ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Регулирование вопросов в области физической культуры и спорта в Прокопьевском городском округе осуществляет Управление по физической культуре, спорту и молодежной политике администрации города.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На 31.12.202</w:t>
      </w:r>
      <w:r w:rsidR="007412A7" w:rsidRPr="005E5581">
        <w:rPr>
          <w:rFonts w:ascii="Times New Roman" w:hAnsi="Times New Roman"/>
          <w:sz w:val="28"/>
          <w:szCs w:val="28"/>
        </w:rPr>
        <w:t xml:space="preserve">4 </w:t>
      </w:r>
      <w:r w:rsidRPr="005E5581">
        <w:rPr>
          <w:rFonts w:ascii="Times New Roman" w:hAnsi="Times New Roman"/>
          <w:sz w:val="28"/>
          <w:szCs w:val="28"/>
        </w:rPr>
        <w:t xml:space="preserve">г. в структуре Управления 9 юридических лиц: МБУ «Централизованная бухгалтерия </w:t>
      </w:r>
      <w:proofErr w:type="spellStart"/>
      <w:r w:rsidRPr="005E5581">
        <w:rPr>
          <w:rFonts w:ascii="Times New Roman" w:hAnsi="Times New Roman"/>
          <w:sz w:val="28"/>
          <w:szCs w:val="28"/>
        </w:rPr>
        <w:t>ФКиС</w:t>
      </w:r>
      <w:proofErr w:type="spellEnd"/>
      <w:r w:rsidRPr="005E5581">
        <w:rPr>
          <w:rFonts w:ascii="Times New Roman" w:hAnsi="Times New Roman"/>
          <w:sz w:val="28"/>
          <w:szCs w:val="28"/>
        </w:rPr>
        <w:t>», МАУДО «Спортивная школа № 1», МБУДО «Спортивная школа № 2», МБУДО «Спортивная школа олимпийского резерва № 3», МБУДО «Спортивная школа олимпийского резерва  «Олимп»,</w:t>
      </w:r>
      <w:r w:rsidR="007412A7" w:rsidRPr="005E5581">
        <w:rPr>
          <w:rFonts w:ascii="Times New Roman" w:hAnsi="Times New Roman"/>
          <w:sz w:val="28"/>
          <w:szCs w:val="28"/>
        </w:rPr>
        <w:t xml:space="preserve"> </w:t>
      </w:r>
      <w:r w:rsidRPr="005E5581">
        <w:rPr>
          <w:rFonts w:ascii="Times New Roman" w:hAnsi="Times New Roman"/>
          <w:sz w:val="28"/>
          <w:szCs w:val="28"/>
        </w:rPr>
        <w:t>МБУДО «Комплексная спортивная школа олимпийского резерва», МАУ «Дворец спорта «Дельфин», МБУ «Футбольный клуб «Шахтер».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Координируется деятельность: Муниципального унитарного предприятия «Спортивно-развлекательный центр «Солнечный».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В январе 2024 года на основании Распоряжения администрации г. Прокопьевска создано муниципальное бюджетное учреждение «Клубы по месту жительства».</w:t>
      </w:r>
    </w:p>
    <w:p w:rsidR="003A6F06" w:rsidRPr="005E5581" w:rsidRDefault="003A6F06" w:rsidP="00B76457">
      <w:pPr>
        <w:pStyle w:val="aa"/>
        <w:widowControl w:val="0"/>
        <w:spacing w:after="24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Работа Управления осуществляется в рамках муниципальной программы «Формирование здорового образа жизни населения города Прокопьевска», утвержденная постановлением администрации города 23.11.2021 № 211-п.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На реализацию муниципальной программы в 2024 году запланировано </w:t>
      </w:r>
      <w:r w:rsidR="0011375B">
        <w:rPr>
          <w:rFonts w:ascii="Times New Roman" w:hAnsi="Times New Roman"/>
          <w:sz w:val="28"/>
          <w:szCs w:val="28"/>
        </w:rPr>
        <w:t xml:space="preserve">                      </w:t>
      </w:r>
      <w:r w:rsidRPr="005E5581">
        <w:rPr>
          <w:rFonts w:ascii="Times New Roman" w:hAnsi="Times New Roman"/>
          <w:sz w:val="28"/>
          <w:szCs w:val="28"/>
        </w:rPr>
        <w:t xml:space="preserve">452,9 </w:t>
      </w:r>
      <w:proofErr w:type="spellStart"/>
      <w:r w:rsidRPr="005E5581">
        <w:rPr>
          <w:rFonts w:ascii="Times New Roman" w:hAnsi="Times New Roman"/>
          <w:sz w:val="28"/>
          <w:szCs w:val="28"/>
        </w:rPr>
        <w:t>млн.руб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., в том числе федеральный бюджет – 3,1 </w:t>
      </w:r>
      <w:proofErr w:type="spellStart"/>
      <w:r w:rsidRPr="005E5581">
        <w:rPr>
          <w:rFonts w:ascii="Times New Roman" w:hAnsi="Times New Roman"/>
          <w:sz w:val="28"/>
          <w:szCs w:val="28"/>
        </w:rPr>
        <w:t>млн.руб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., областной бюджет – 16,1 </w:t>
      </w:r>
      <w:proofErr w:type="spellStart"/>
      <w:r w:rsidRPr="005E5581">
        <w:rPr>
          <w:rFonts w:ascii="Times New Roman" w:hAnsi="Times New Roman"/>
          <w:sz w:val="28"/>
          <w:szCs w:val="28"/>
        </w:rPr>
        <w:t>млн.руб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., местный бюджет – 399,1 </w:t>
      </w:r>
      <w:proofErr w:type="spellStart"/>
      <w:r w:rsidRPr="005E5581">
        <w:rPr>
          <w:rFonts w:ascii="Times New Roman" w:hAnsi="Times New Roman"/>
          <w:sz w:val="28"/>
          <w:szCs w:val="28"/>
        </w:rPr>
        <w:t>млн.руб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., внебюджетные средства – 34,7 </w:t>
      </w:r>
      <w:proofErr w:type="spellStart"/>
      <w:r w:rsidRPr="005E5581">
        <w:rPr>
          <w:rFonts w:ascii="Times New Roman" w:hAnsi="Times New Roman"/>
          <w:sz w:val="28"/>
          <w:szCs w:val="28"/>
        </w:rPr>
        <w:t>млн.руб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.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Фактически за 2024 год по программе реализовано 432,1 </w:t>
      </w:r>
      <w:proofErr w:type="spellStart"/>
      <w:r w:rsidRPr="005E5581">
        <w:rPr>
          <w:rFonts w:ascii="Times New Roman" w:hAnsi="Times New Roman"/>
          <w:sz w:val="28"/>
          <w:szCs w:val="28"/>
        </w:rPr>
        <w:t>млн.руб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., в том числе средства федерального бюджета – 3,1 </w:t>
      </w:r>
      <w:proofErr w:type="spellStart"/>
      <w:r w:rsidRPr="005E5581">
        <w:rPr>
          <w:rFonts w:ascii="Times New Roman" w:hAnsi="Times New Roman"/>
          <w:sz w:val="28"/>
          <w:szCs w:val="28"/>
        </w:rPr>
        <w:t>млн.руб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., областного бюджета – 16,1 </w:t>
      </w:r>
      <w:proofErr w:type="spellStart"/>
      <w:r w:rsidRPr="005E5581">
        <w:rPr>
          <w:rFonts w:ascii="Times New Roman" w:hAnsi="Times New Roman"/>
          <w:sz w:val="28"/>
          <w:szCs w:val="28"/>
        </w:rPr>
        <w:t>млн.руб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. местного бюджета – 390,5 </w:t>
      </w:r>
      <w:proofErr w:type="spellStart"/>
      <w:r w:rsidRPr="005E5581">
        <w:rPr>
          <w:rFonts w:ascii="Times New Roman" w:hAnsi="Times New Roman"/>
          <w:sz w:val="28"/>
          <w:szCs w:val="28"/>
        </w:rPr>
        <w:t>млн.руб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., внебюджетные средства – 22,4 </w:t>
      </w:r>
      <w:proofErr w:type="spellStart"/>
      <w:r w:rsidRPr="005E5581">
        <w:rPr>
          <w:rFonts w:ascii="Times New Roman" w:hAnsi="Times New Roman"/>
          <w:sz w:val="28"/>
          <w:szCs w:val="28"/>
        </w:rPr>
        <w:t>млн.руб</w:t>
      </w:r>
      <w:proofErr w:type="spellEnd"/>
      <w:r w:rsidRPr="005E5581">
        <w:rPr>
          <w:rFonts w:ascii="Times New Roman" w:hAnsi="Times New Roman"/>
          <w:sz w:val="28"/>
          <w:szCs w:val="28"/>
        </w:rPr>
        <w:t>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По итогам за 2024 год достигнуты плановые значения по всем основным показателям муниципальной программы.</w:t>
      </w:r>
      <w:r w:rsidRPr="005E5581">
        <w:rPr>
          <w:rFonts w:ascii="Times New Roman" w:hAnsi="Times New Roman"/>
          <w:sz w:val="28"/>
          <w:szCs w:val="28"/>
        </w:rPr>
        <w:tab/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В городе массово развиваются 35 вида спорта, физкультурно-оздоровительная работа ведется в 178 организациях.  Работают 23 физкультурно-спортивных и фитнес-клубов, из них 7 детских и подростковых клубов.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Функционируют 2 спортивные школы и 3 спортивные школы олимпийского резерва, в которых под руководством 96 квалифицированных тренеров-преподавателей, работа которых направлена на подготовку спортсменов – разрядников и достижение высоких спортивных результатов, спортивную подготовку проходят 5212 человек. В спортивных школах развиваются 23 вида спорта, из которых 12 являются базовыми.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Для занятий физической культурой и спортом функционируют: Дворец спорта с плавательным бассейном, спортивный комплекс «Снежинка» с ледовой ареной, стадион «Шахтер», спортивные и тренажерные залы, в шаговой доступности многофункциональные спортивные и игровые площадки, </w:t>
      </w:r>
      <w:proofErr w:type="spellStart"/>
      <w:r w:rsidRPr="005E5581">
        <w:rPr>
          <w:rFonts w:ascii="Times New Roman" w:hAnsi="Times New Roman"/>
          <w:sz w:val="28"/>
          <w:szCs w:val="28"/>
        </w:rPr>
        <w:t>воркаут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комплексы, площадки с комплексами уличных тренажеров. В зимний период регулярно работают 3 лыжно-прокатные базы, горнолыжный комплекс. Ежегодно заливаются хоккейные коробки с пластиковыми бортами и открытые ледовые площадки для массового катания.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В 2024 году физической культурой и спортом в организованных формах: секциях и группах, клубах физкультурно-оздоровительной и спортивной направленности, организациях и учреждениях в возрасте 3-79 лет систематически занимаются 102</w:t>
      </w:r>
      <w:r w:rsidR="0011375B">
        <w:rPr>
          <w:rFonts w:ascii="Times New Roman" w:hAnsi="Times New Roman"/>
          <w:sz w:val="28"/>
          <w:szCs w:val="28"/>
        </w:rPr>
        <w:t xml:space="preserve"> </w:t>
      </w:r>
      <w:r w:rsidRPr="005E5581">
        <w:rPr>
          <w:rFonts w:ascii="Times New Roman" w:hAnsi="Times New Roman"/>
          <w:sz w:val="28"/>
          <w:szCs w:val="28"/>
        </w:rPr>
        <w:t>102 человек</w:t>
      </w:r>
      <w:r w:rsidR="007412A7" w:rsidRPr="005E5581">
        <w:rPr>
          <w:rFonts w:ascii="Times New Roman" w:hAnsi="Times New Roman"/>
          <w:sz w:val="28"/>
          <w:szCs w:val="28"/>
        </w:rPr>
        <w:t>а</w:t>
      </w:r>
      <w:r w:rsidRPr="005E5581">
        <w:rPr>
          <w:rFonts w:ascii="Times New Roman" w:hAnsi="Times New Roman"/>
          <w:sz w:val="28"/>
          <w:szCs w:val="28"/>
        </w:rPr>
        <w:t xml:space="preserve"> (+ 127 чел. в сравнении с прошлым годом). Доля населения, систематически занимающегося физической культурой и спортом, составляет 63,5%.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В ходе реализации Всероссийского физкультурно-спортивного комплекса «Готов к труду и обороне», </w:t>
      </w:r>
      <w:proofErr w:type="spellStart"/>
      <w:r w:rsidRPr="005E5581">
        <w:rPr>
          <w:rFonts w:ascii="Times New Roman" w:hAnsi="Times New Roman"/>
          <w:sz w:val="28"/>
          <w:szCs w:val="28"/>
        </w:rPr>
        <w:t>Прокопчане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всех возрастных категорий активно принимают участие в подготовке к выполнению и выполнении нормативов ГТО.</w:t>
      </w:r>
    </w:p>
    <w:p w:rsidR="003A6F06" w:rsidRPr="005E5581" w:rsidRDefault="003A6F06" w:rsidP="001C1569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На сегодняшний день в городе 18221 обладатель знаков отличия (8054 – золотых, 6082 – серебряных, 4085 - бронзовых). Только в 2024 году к выполнению нормативов приступило 6182 участника, из них 4710 человек выполнили нормативы на знаки отличия.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E5581">
        <w:rPr>
          <w:rFonts w:ascii="Times New Roman" w:hAnsi="Times New Roman"/>
          <w:b/>
          <w:sz w:val="28"/>
          <w:szCs w:val="28"/>
        </w:rPr>
        <w:t>Достижения.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По результатам выступлений на официальных соревнованиях всероссийского и международного уровня </w:t>
      </w:r>
      <w:proofErr w:type="spellStart"/>
      <w:r w:rsidRPr="005E5581">
        <w:rPr>
          <w:rFonts w:ascii="Times New Roman" w:hAnsi="Times New Roman"/>
          <w:sz w:val="28"/>
          <w:szCs w:val="28"/>
        </w:rPr>
        <w:t>прокопьевские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спортсмены завоевали 221 награду, из них 77 золотых, 55 серебряных, 89 бронзовых наград.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В отчетном периоде 2024 года Алексеевой Кристине присвоено почетное спортивное звание Заслуженный мастер спорта России, </w:t>
      </w:r>
      <w:proofErr w:type="spellStart"/>
      <w:r w:rsidRPr="005E5581">
        <w:rPr>
          <w:rFonts w:ascii="Times New Roman" w:hAnsi="Times New Roman"/>
          <w:sz w:val="28"/>
          <w:szCs w:val="28"/>
        </w:rPr>
        <w:t>Бикреву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Егору и Мясникову Максиму присвоено звание Мастер спорта международного класса по </w:t>
      </w:r>
      <w:proofErr w:type="spellStart"/>
      <w:r w:rsidRPr="005E5581">
        <w:rPr>
          <w:rFonts w:ascii="Times New Roman" w:hAnsi="Times New Roman"/>
          <w:sz w:val="28"/>
          <w:szCs w:val="28"/>
        </w:rPr>
        <w:t>муайтай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,  подготовлено: 4 мастера спорта России (Максимова Елизавета, </w:t>
      </w:r>
      <w:proofErr w:type="spellStart"/>
      <w:r w:rsidRPr="005E5581">
        <w:rPr>
          <w:rFonts w:ascii="Times New Roman" w:hAnsi="Times New Roman"/>
          <w:sz w:val="28"/>
          <w:szCs w:val="28"/>
        </w:rPr>
        <w:t>Семенькова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Дарья, </w:t>
      </w:r>
      <w:proofErr w:type="spellStart"/>
      <w:r w:rsidRPr="005E5581">
        <w:rPr>
          <w:rFonts w:ascii="Times New Roman" w:hAnsi="Times New Roman"/>
          <w:sz w:val="28"/>
          <w:szCs w:val="28"/>
        </w:rPr>
        <w:t>Видягина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Дарья, Баширов Александр), </w:t>
      </w:r>
      <w:proofErr w:type="spellStart"/>
      <w:r w:rsidRPr="005E5581">
        <w:rPr>
          <w:rFonts w:ascii="Times New Roman" w:hAnsi="Times New Roman"/>
          <w:sz w:val="28"/>
          <w:szCs w:val="28"/>
        </w:rPr>
        <w:t>Черноморова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Ульяна выполнила норматив МС по плаванию; 1777 спортсменов массовых разрядов, том числе 46 кандидата в мастера спорта, 40 перворазрядников.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В 2024 году наилучших спортивных результатов добились: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Коровина Алина, Мустаева Вера, Алексей </w:t>
      </w:r>
      <w:proofErr w:type="spellStart"/>
      <w:r w:rsidRPr="005E5581">
        <w:rPr>
          <w:rFonts w:ascii="Times New Roman" w:hAnsi="Times New Roman"/>
          <w:sz w:val="28"/>
          <w:szCs w:val="28"/>
        </w:rPr>
        <w:t>Возничко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стали победителями Всероссийских соревнований по самбо;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Пахомов Степан занял первое место на Всероссийских соревнованиях по каратэ «Кубок </w:t>
      </w:r>
      <w:proofErr w:type="spellStart"/>
      <w:r w:rsidRPr="005E5581">
        <w:rPr>
          <w:rFonts w:ascii="Times New Roman" w:hAnsi="Times New Roman"/>
          <w:sz w:val="28"/>
          <w:szCs w:val="28"/>
        </w:rPr>
        <w:t>Прииртышья</w:t>
      </w:r>
      <w:proofErr w:type="spellEnd"/>
      <w:r w:rsidRPr="005E5581">
        <w:rPr>
          <w:rFonts w:ascii="Times New Roman" w:hAnsi="Times New Roman"/>
          <w:sz w:val="28"/>
          <w:szCs w:val="28"/>
        </w:rPr>
        <w:t>» и стал победителем Первенства России</w:t>
      </w:r>
      <w:r w:rsidR="007412A7" w:rsidRPr="005E5581">
        <w:rPr>
          <w:rFonts w:ascii="Times New Roman" w:hAnsi="Times New Roman"/>
          <w:sz w:val="28"/>
          <w:szCs w:val="28"/>
        </w:rPr>
        <w:t>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Максимова Елизавета одержала победу в первенстве России по легкой атлетике среди юниорок до 20 лет;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Ефимова Виктория достойно представила наш регион, и успешно выступила во Всероссийских соревнованиях по лыжным гонкам завоевав бронзовую награду</w:t>
      </w:r>
      <w:r w:rsidR="007412A7" w:rsidRPr="005E5581">
        <w:rPr>
          <w:rFonts w:ascii="Times New Roman" w:hAnsi="Times New Roman"/>
          <w:sz w:val="28"/>
          <w:szCs w:val="28"/>
        </w:rPr>
        <w:t>;</w:t>
      </w:r>
    </w:p>
    <w:p w:rsidR="007412A7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Юдина Елизавета успешно выступила на Кубке России (2 этап) по плаванию завоевав две медали серебряного достоинства и одну бронзовую</w:t>
      </w:r>
      <w:r w:rsidR="007412A7" w:rsidRPr="005E5581">
        <w:rPr>
          <w:rFonts w:ascii="Times New Roman" w:hAnsi="Times New Roman"/>
          <w:sz w:val="28"/>
          <w:szCs w:val="28"/>
        </w:rPr>
        <w:t>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Харитонова Ольга стала бронзовым</w:t>
      </w:r>
      <w:r w:rsidR="007412A7" w:rsidRPr="005E5581">
        <w:rPr>
          <w:rFonts w:ascii="Times New Roman" w:hAnsi="Times New Roman"/>
          <w:sz w:val="28"/>
          <w:szCs w:val="28"/>
        </w:rPr>
        <w:t xml:space="preserve"> </w:t>
      </w:r>
      <w:r w:rsidRPr="005E5581">
        <w:rPr>
          <w:rFonts w:ascii="Times New Roman" w:hAnsi="Times New Roman"/>
          <w:sz w:val="28"/>
          <w:szCs w:val="28"/>
        </w:rPr>
        <w:t>призером первенства России по боксу. Харитонова Лидия стала победителем первенства России и бронзовым призером первенства мира по боксу</w:t>
      </w:r>
      <w:r w:rsidR="007412A7" w:rsidRPr="005E5581">
        <w:rPr>
          <w:rFonts w:ascii="Times New Roman" w:hAnsi="Times New Roman"/>
          <w:sz w:val="28"/>
          <w:szCs w:val="28"/>
        </w:rPr>
        <w:t>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5581">
        <w:rPr>
          <w:rFonts w:ascii="Times New Roman" w:hAnsi="Times New Roman"/>
          <w:sz w:val="28"/>
          <w:szCs w:val="28"/>
        </w:rPr>
        <w:t>Комарских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Захар стал бронзовым призером чемпионата России по панкратиону</w:t>
      </w:r>
      <w:r w:rsidR="007412A7" w:rsidRPr="005E5581">
        <w:rPr>
          <w:rFonts w:ascii="Times New Roman" w:hAnsi="Times New Roman"/>
          <w:sz w:val="28"/>
          <w:szCs w:val="28"/>
        </w:rPr>
        <w:t>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5581">
        <w:rPr>
          <w:rFonts w:ascii="Times New Roman" w:hAnsi="Times New Roman"/>
          <w:sz w:val="28"/>
          <w:szCs w:val="28"/>
        </w:rPr>
        <w:t>Додатко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Тимофей стал бронзовым призером Всероссийские соревнования по легкой атлетике в составе сборной команды Кузбасса в эстафетном беге 4 по 200 метров</w:t>
      </w:r>
      <w:r w:rsidR="00C91727" w:rsidRPr="005E5581">
        <w:rPr>
          <w:rFonts w:ascii="Times New Roman" w:hAnsi="Times New Roman"/>
          <w:sz w:val="28"/>
          <w:szCs w:val="28"/>
        </w:rPr>
        <w:t>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Баширов Александр – победитель XXX Всероссийские соревнования по боксу среди мужчин 19-40 лет на призы ЗМС Ю. </w:t>
      </w:r>
      <w:proofErr w:type="spellStart"/>
      <w:r w:rsidRPr="005E5581">
        <w:rPr>
          <w:rFonts w:ascii="Times New Roman" w:hAnsi="Times New Roman"/>
          <w:sz w:val="28"/>
          <w:szCs w:val="28"/>
        </w:rPr>
        <w:t>Арбачакова</w:t>
      </w:r>
      <w:proofErr w:type="spellEnd"/>
      <w:r w:rsidR="00C91727" w:rsidRPr="005E5581">
        <w:rPr>
          <w:rFonts w:ascii="Times New Roman" w:hAnsi="Times New Roman"/>
          <w:sz w:val="28"/>
          <w:szCs w:val="28"/>
        </w:rPr>
        <w:t>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Красненко Анастасия успешно выступила во Всероссийских соревнованиях по пулевой стрельбе в индивидуальном зачете и одержала победу в первенстве России в составе сборной команды Кемеровской области;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Левченко Владислава стала серебряным призером Всероссийских соревнований по мотокроссу «Кубок Александра Невского - 2024»</w:t>
      </w:r>
      <w:r w:rsidR="00C91727" w:rsidRPr="005E5581">
        <w:rPr>
          <w:rFonts w:ascii="Times New Roman" w:hAnsi="Times New Roman"/>
          <w:sz w:val="28"/>
          <w:szCs w:val="28"/>
        </w:rPr>
        <w:t>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Шибанова Юлия стала бронзовым призером чемпионата России по рукопашному бою</w:t>
      </w:r>
      <w:r w:rsidR="00C91727" w:rsidRPr="005E5581">
        <w:rPr>
          <w:rFonts w:ascii="Times New Roman" w:hAnsi="Times New Roman"/>
          <w:sz w:val="28"/>
          <w:szCs w:val="28"/>
        </w:rPr>
        <w:t>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Лысенко Никита - серебряный призер чемпионата России по универсальному бою</w:t>
      </w:r>
      <w:r w:rsidR="00C91727" w:rsidRPr="005E5581">
        <w:rPr>
          <w:rFonts w:ascii="Times New Roman" w:hAnsi="Times New Roman"/>
          <w:sz w:val="28"/>
          <w:szCs w:val="28"/>
        </w:rPr>
        <w:t>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Отличные результаты на всероссийской и международной арене показывают тайские боксеры</w:t>
      </w:r>
      <w:r w:rsidR="007412A7" w:rsidRPr="005E5581">
        <w:rPr>
          <w:rFonts w:ascii="Times New Roman" w:hAnsi="Times New Roman"/>
          <w:sz w:val="28"/>
          <w:szCs w:val="28"/>
        </w:rPr>
        <w:t>:</w:t>
      </w:r>
    </w:p>
    <w:p w:rsidR="007412A7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E5581">
        <w:rPr>
          <w:rFonts w:ascii="Times New Roman" w:hAnsi="Times New Roman"/>
          <w:sz w:val="28"/>
          <w:szCs w:val="28"/>
        </w:rPr>
        <w:t>СайфутдиновЭрсултан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- победитель молодежного первенства мира</w:t>
      </w:r>
      <w:r w:rsidR="00C91727" w:rsidRPr="005E5581">
        <w:rPr>
          <w:rFonts w:ascii="Times New Roman" w:hAnsi="Times New Roman"/>
          <w:sz w:val="28"/>
          <w:szCs w:val="28"/>
        </w:rPr>
        <w:t>;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Исаев Салават, </w:t>
      </w:r>
      <w:proofErr w:type="spellStart"/>
      <w:r w:rsidRPr="005E5581">
        <w:rPr>
          <w:rFonts w:ascii="Times New Roman" w:hAnsi="Times New Roman"/>
          <w:sz w:val="28"/>
          <w:szCs w:val="28"/>
        </w:rPr>
        <w:t>Ракицкий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Данила стали серебряными призерами.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Артем Вахитов, Кирилл Хомутов, Дмитрий Меньшиков, Салават Исаев, Алексей Ульянов, </w:t>
      </w:r>
      <w:proofErr w:type="spellStart"/>
      <w:r w:rsidRPr="005E5581">
        <w:rPr>
          <w:rFonts w:ascii="Times New Roman" w:hAnsi="Times New Roman"/>
          <w:sz w:val="28"/>
          <w:szCs w:val="28"/>
        </w:rPr>
        <w:t>Сайфутдинов</w:t>
      </w:r>
      <w:proofErr w:type="spellEnd"/>
      <w:r w:rsidR="00C91727" w:rsidRPr="005E5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5581">
        <w:rPr>
          <w:rFonts w:ascii="Times New Roman" w:hAnsi="Times New Roman"/>
          <w:sz w:val="28"/>
          <w:szCs w:val="28"/>
        </w:rPr>
        <w:t>Эрсултан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E5581">
        <w:rPr>
          <w:rFonts w:ascii="Times New Roman" w:hAnsi="Times New Roman"/>
          <w:sz w:val="28"/>
          <w:szCs w:val="28"/>
        </w:rPr>
        <w:t>Даллер</w:t>
      </w:r>
      <w:proofErr w:type="spellEnd"/>
      <w:r w:rsidR="00C91727" w:rsidRPr="005E5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5581">
        <w:rPr>
          <w:rFonts w:ascii="Times New Roman" w:hAnsi="Times New Roman"/>
          <w:sz w:val="28"/>
          <w:szCs w:val="28"/>
        </w:rPr>
        <w:t>Шрайнер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, Егор </w:t>
      </w:r>
      <w:proofErr w:type="spellStart"/>
      <w:r w:rsidRPr="005E5581">
        <w:rPr>
          <w:rFonts w:ascii="Times New Roman" w:hAnsi="Times New Roman"/>
          <w:sz w:val="28"/>
          <w:szCs w:val="28"/>
        </w:rPr>
        <w:t>Бикрев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успешно выступили в профессиональных турнирах.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Достойные результаты показали спортсмены по игровым видам спорта. Спортсменки «СШОР № 3» (тренер Сычугов К.И.)  стали победителями всероссийского турнира по регби «Осенний турнир» среди девочек до 16 лет.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Футбольная команда «Шахтер» в очередной раз стала обладателем Кубка Кузбасса по футболу среди любительских футбольных клубов.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Хоккейная команда «Шахтер» одержала победу в чемпионате Сибирской студенческой хоккейной лиги.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Члены общественной организации инвалидов </w:t>
      </w:r>
      <w:proofErr w:type="spellStart"/>
      <w:r w:rsidRPr="005E5581">
        <w:rPr>
          <w:rFonts w:ascii="Times New Roman" w:hAnsi="Times New Roman"/>
          <w:sz w:val="28"/>
          <w:szCs w:val="28"/>
        </w:rPr>
        <w:t>г.Прокопьевска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«Рубикон» в составе сборной Кузбасса завоевали бронзовые медали чемпионата России по волейболу сидя среди спортсменов с поражением опорно-двигательного аппарата. Илья </w:t>
      </w:r>
      <w:proofErr w:type="spellStart"/>
      <w:r w:rsidRPr="005E5581">
        <w:rPr>
          <w:rFonts w:ascii="Times New Roman" w:hAnsi="Times New Roman"/>
          <w:sz w:val="28"/>
          <w:szCs w:val="28"/>
        </w:rPr>
        <w:t>Мысляев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признан лучшим игроком чемпионата России.</w:t>
      </w:r>
    </w:p>
    <w:p w:rsidR="00CD4510" w:rsidRPr="005E5581" w:rsidRDefault="003A6F06" w:rsidP="00CD4510">
      <w:pPr>
        <w:pStyle w:val="aa"/>
        <w:widowControl w:val="0"/>
        <w:spacing w:after="24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Команда ветеранов спорта </w:t>
      </w:r>
      <w:proofErr w:type="spellStart"/>
      <w:r w:rsidRPr="005E5581">
        <w:rPr>
          <w:rFonts w:ascii="Times New Roman" w:hAnsi="Times New Roman"/>
          <w:sz w:val="28"/>
          <w:szCs w:val="28"/>
        </w:rPr>
        <w:t>г.Прокопьевска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в составе: </w:t>
      </w:r>
      <w:proofErr w:type="spellStart"/>
      <w:r w:rsidRPr="005E5581">
        <w:rPr>
          <w:rFonts w:ascii="Times New Roman" w:hAnsi="Times New Roman"/>
          <w:sz w:val="28"/>
          <w:szCs w:val="28"/>
        </w:rPr>
        <w:t>Матюшинский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Дмитрий, Никитина Инна, Зотовы Инна и Евгений в категории микст 200+ стали бронзовыми призерами кубка России по </w:t>
      </w:r>
      <w:proofErr w:type="spellStart"/>
      <w:r w:rsidRPr="005E5581">
        <w:rPr>
          <w:rFonts w:ascii="Times New Roman" w:hAnsi="Times New Roman"/>
          <w:sz w:val="28"/>
          <w:szCs w:val="28"/>
        </w:rPr>
        <w:t>миниволею</w:t>
      </w:r>
      <w:proofErr w:type="spellEnd"/>
      <w:r w:rsidRPr="005E5581">
        <w:rPr>
          <w:rFonts w:ascii="Times New Roman" w:hAnsi="Times New Roman"/>
          <w:sz w:val="28"/>
          <w:szCs w:val="28"/>
        </w:rPr>
        <w:t>.</w:t>
      </w:r>
    </w:p>
    <w:p w:rsidR="003A6F06" w:rsidRPr="005E5581" w:rsidRDefault="003A6F06" w:rsidP="00CD4510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E5581">
        <w:rPr>
          <w:rFonts w:ascii="Times New Roman" w:hAnsi="Times New Roman"/>
          <w:b/>
          <w:sz w:val="28"/>
          <w:szCs w:val="28"/>
        </w:rPr>
        <w:t>Спортивные мероприятия.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По итогам отчетного периода на территории города проведены все запланированные физкультурно-массовые и спортивные мероприятия. 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В целях пропаганды и популяризации физической культуры, массового спорта и здорового образа жизни, а также для привлечения населения к систематическим занятиям, на территории города традиционно проводятся: Легкоатлетическая эстафета на призы газеты «Шахтерская правда», спартакиады среди бюджетных организаций, производственных коллективов города, загородных оздоровительных центров, учащихся образовательных учреждений и занимающихся спортивных школ, студенческая спартакиада, турниры по мини-футболу, стритболу, хоккею среди дворовых команд, соревнования и турниры памяти ветеранов спорта и другие мероприятия физкультурной и спортивной направленности.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Проведено 260 физкультурно-оздоровительных и спортивных мероприятий ВФСК ГТО (фестивали, конкурсы, праздники, площадки ГТО, прием нормативов), в том числе 5 муниципальных фестиваля ГТО.</w:t>
      </w:r>
    </w:p>
    <w:p w:rsidR="003A6F06" w:rsidRPr="005E5581" w:rsidRDefault="003A6F06" w:rsidP="00C91727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Спортсмены города Прокопьевска приняли участие в 550 спортивных мероприятиях, из них в 154 регионального уровня, 77 межрегионального, 61 всероссийского и 7 международного уровня. В 2024 году спортивные объекты города стали площадками для проведения официальных спортивных мероприятий. </w:t>
      </w:r>
    </w:p>
    <w:p w:rsidR="003A6F06" w:rsidRPr="005E5581" w:rsidRDefault="003A6F06" w:rsidP="00B76457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В спортивно-оздоровительном комплексе техникума физической культуры прошли всероссийские соревнования по самбо, памяти Владимира Никитина, бойца </w:t>
      </w:r>
      <w:proofErr w:type="spellStart"/>
      <w:r w:rsidRPr="005E5581">
        <w:rPr>
          <w:rFonts w:ascii="Times New Roman" w:hAnsi="Times New Roman"/>
          <w:sz w:val="28"/>
          <w:szCs w:val="28"/>
        </w:rPr>
        <w:t>Росгвардии</w:t>
      </w:r>
      <w:proofErr w:type="spellEnd"/>
      <w:r w:rsidRPr="005E5581">
        <w:rPr>
          <w:rFonts w:ascii="Times New Roman" w:hAnsi="Times New Roman"/>
          <w:sz w:val="28"/>
          <w:szCs w:val="28"/>
        </w:rPr>
        <w:t>, погибшего при выполнении служебного долга среди юношей и девушек 12-14 лет. Региональные соревнования по рукопашному бою, посвященные памяти бойца СОБР Александра Иванова.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В Центре бокса им. Ю. </w:t>
      </w:r>
      <w:proofErr w:type="spellStart"/>
      <w:r w:rsidRPr="005E5581">
        <w:rPr>
          <w:rFonts w:ascii="Times New Roman" w:hAnsi="Times New Roman"/>
          <w:sz w:val="28"/>
          <w:szCs w:val="28"/>
        </w:rPr>
        <w:t>Арбачакова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прошло открытое первенство города по боксу среди юношей памяти Кириллова Кирилла, погибшего при выполнении воинского долга в ходе специальной военной операции. Во Дворце спорта «Дельфин» состоялось открытое первенство города Прокопьевска по </w:t>
      </w:r>
      <w:proofErr w:type="spellStart"/>
      <w:r w:rsidRPr="005E5581">
        <w:rPr>
          <w:rFonts w:ascii="Times New Roman" w:hAnsi="Times New Roman"/>
          <w:sz w:val="28"/>
          <w:szCs w:val="28"/>
        </w:rPr>
        <w:t>муайтай</w:t>
      </w:r>
      <w:proofErr w:type="spellEnd"/>
      <w:r w:rsidRPr="005E5581">
        <w:rPr>
          <w:rFonts w:ascii="Times New Roman" w:hAnsi="Times New Roman"/>
          <w:sz w:val="28"/>
          <w:szCs w:val="28"/>
        </w:rPr>
        <w:t>, посвященное памяти Шабанова Данила, погибшего при выполнении воинского долга СВО.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5E5581">
        <w:rPr>
          <w:rFonts w:ascii="Times New Roman" w:hAnsi="Times New Roman"/>
          <w:sz w:val="28"/>
          <w:szCs w:val="28"/>
        </w:rPr>
        <w:t>прокопьевской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5581">
        <w:rPr>
          <w:rFonts w:ascii="Times New Roman" w:hAnsi="Times New Roman"/>
          <w:sz w:val="28"/>
          <w:szCs w:val="28"/>
        </w:rPr>
        <w:t>мототрассе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прошли Всероссийские соревнования по мотоциклетному спорту в дисциплине «мотокросс», чемпионат и первенство Кузбасса по мотоциклетному спорту, традиционные городские соревнования, посвященные Дню Шахтёра и Дню города Прокопьевска. Спортивная школа № 2 впервые приняла участников командного чемпионата Сибирского федерального округа 2024 года по быстрым шахматам.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На территории стадиона «Шахтер» состоялось областное физкультурно-спортивное мероприятие «Всероссийский Олимпийский день». </w:t>
      </w:r>
    </w:p>
    <w:p w:rsidR="003A6F06" w:rsidRPr="005E5581" w:rsidRDefault="003A6F06" w:rsidP="00B76457">
      <w:pPr>
        <w:pStyle w:val="aa"/>
        <w:widowControl w:val="0"/>
        <w:spacing w:after="24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На площади спортивного комплекса «Снежинка» имени Г.И. Бедарева впервые прошел спортивный фестиваль «Россия в движении», в котором приняли участие 1500 человек (</w:t>
      </w:r>
      <w:proofErr w:type="spellStart"/>
      <w:r w:rsidRPr="005E5581">
        <w:rPr>
          <w:rFonts w:ascii="Times New Roman" w:hAnsi="Times New Roman"/>
          <w:sz w:val="28"/>
          <w:szCs w:val="28"/>
        </w:rPr>
        <w:t>прокопчане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и гости города вне зависимости от пола и возраста; участники СВО, </w:t>
      </w:r>
      <w:proofErr w:type="spellStart"/>
      <w:r w:rsidRPr="005E5581">
        <w:rPr>
          <w:rFonts w:ascii="Times New Roman" w:hAnsi="Times New Roman"/>
          <w:sz w:val="28"/>
          <w:szCs w:val="28"/>
        </w:rPr>
        <w:t>параспортсмены</w:t>
      </w:r>
      <w:proofErr w:type="spellEnd"/>
      <w:r w:rsidRPr="005E5581">
        <w:rPr>
          <w:rFonts w:ascii="Times New Roman" w:hAnsi="Times New Roman"/>
          <w:sz w:val="28"/>
          <w:szCs w:val="28"/>
        </w:rPr>
        <w:t>, служители церкви).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E5581">
        <w:rPr>
          <w:rFonts w:ascii="Times New Roman" w:hAnsi="Times New Roman"/>
          <w:b/>
          <w:sz w:val="28"/>
          <w:szCs w:val="28"/>
        </w:rPr>
        <w:t>Модернизация спортивной инфраструктуры.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В рамках реализации государственной программы Кемеровской области - Кузбасса "Физическая культура и спорт Кузбасса", в рамках национального проекта «Демография», в том числе федерального проекта «Спорт-норма жизни», по направлению «Государственная поддержка организаций, входящих в систему спортивной подготовки», приобретен автобус на общую сумму 4 999,4 тыс. руб. (в том числе ФБ – 3 116,3, ОБ -1 208,2, МБ 674,9)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В рамках соглашения между Министерством физической культуры и спорта Кузбасса и </w:t>
      </w:r>
      <w:proofErr w:type="spellStart"/>
      <w:r w:rsidRPr="005E5581">
        <w:rPr>
          <w:rFonts w:ascii="Times New Roman" w:hAnsi="Times New Roman"/>
          <w:sz w:val="28"/>
          <w:szCs w:val="28"/>
        </w:rPr>
        <w:t>Прокопьевским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 городским округом, региональным проектом «Развитие физической культуры и спорта» на реализацию мер по подготовке спортивного резерва, развитие физической культуры и массового спорта были выделены и использованы субсидии: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- на закупку спортивно-технологического оборудования для оснащения плоскостных спортивных сооружений» (школа № 12, Молодежный парк) на общую сумму 5 926,5 </w:t>
      </w:r>
      <w:proofErr w:type="spellStart"/>
      <w:r w:rsidRPr="005E5581">
        <w:rPr>
          <w:rFonts w:ascii="Times New Roman" w:hAnsi="Times New Roman"/>
          <w:sz w:val="28"/>
          <w:szCs w:val="28"/>
        </w:rPr>
        <w:t>тыс.руб</w:t>
      </w:r>
      <w:proofErr w:type="spellEnd"/>
      <w:r w:rsidRPr="005E5581">
        <w:rPr>
          <w:rFonts w:ascii="Times New Roman" w:hAnsi="Times New Roman"/>
          <w:sz w:val="28"/>
          <w:szCs w:val="28"/>
        </w:rPr>
        <w:t>. (ОБ- 5 511,6, МБ – 414,9)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- текущий ремонт спортивного зала и душевых МБУ ДО «СШОР №3» на сумму 2 496,8 </w:t>
      </w:r>
      <w:proofErr w:type="spellStart"/>
      <w:r w:rsidRPr="005E5581">
        <w:rPr>
          <w:rFonts w:ascii="Times New Roman" w:hAnsi="Times New Roman"/>
          <w:sz w:val="28"/>
          <w:szCs w:val="28"/>
        </w:rPr>
        <w:t>тыс.руб</w:t>
      </w:r>
      <w:proofErr w:type="spellEnd"/>
      <w:r w:rsidRPr="005E5581">
        <w:rPr>
          <w:rFonts w:ascii="Times New Roman" w:hAnsi="Times New Roman"/>
          <w:sz w:val="28"/>
          <w:szCs w:val="28"/>
        </w:rPr>
        <w:t>. (ОБ – 2 322,0, МБ 174,8)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- на командирование официальных спортивных соревнований и учебно-тренировочных мероприятий спортсменов, тренеров-преподавателей на общую сумму 7 539,4 </w:t>
      </w:r>
      <w:proofErr w:type="spellStart"/>
      <w:r w:rsidRPr="005E5581">
        <w:rPr>
          <w:rFonts w:ascii="Times New Roman" w:hAnsi="Times New Roman"/>
          <w:sz w:val="28"/>
          <w:szCs w:val="28"/>
        </w:rPr>
        <w:t>тыс.руб</w:t>
      </w:r>
      <w:proofErr w:type="spellEnd"/>
      <w:r w:rsidRPr="005E5581">
        <w:rPr>
          <w:rFonts w:ascii="Times New Roman" w:hAnsi="Times New Roman"/>
          <w:sz w:val="28"/>
          <w:szCs w:val="28"/>
        </w:rPr>
        <w:t>. (ОБ -7 011,6, МБ – 527,8)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На территории стадиона «Шахтер» ввели в эксплуатацию новый детский игровой комплекс «Корабль». Это стало возможным благодаря инициативе губернатора Кузбасса Ильи </w:t>
      </w:r>
      <w:proofErr w:type="spellStart"/>
      <w:r w:rsidRPr="005E5581">
        <w:rPr>
          <w:rFonts w:ascii="Times New Roman" w:hAnsi="Times New Roman"/>
          <w:sz w:val="28"/>
          <w:szCs w:val="28"/>
        </w:rPr>
        <w:t>Середюка</w:t>
      </w:r>
      <w:proofErr w:type="spellEnd"/>
      <w:r w:rsidRPr="005E5581">
        <w:rPr>
          <w:rFonts w:ascii="Times New Roman" w:hAnsi="Times New Roman"/>
          <w:sz w:val="28"/>
          <w:szCs w:val="28"/>
        </w:rPr>
        <w:t xml:space="preserve">. </w:t>
      </w:r>
      <w:r w:rsidR="00CD4510" w:rsidRPr="005E5581">
        <w:rPr>
          <w:rFonts w:ascii="Times New Roman" w:hAnsi="Times New Roman"/>
          <w:sz w:val="28"/>
          <w:szCs w:val="28"/>
        </w:rPr>
        <w:t>Н</w:t>
      </w:r>
      <w:r w:rsidRPr="005E5581">
        <w:rPr>
          <w:rFonts w:ascii="Times New Roman" w:hAnsi="Times New Roman"/>
          <w:sz w:val="28"/>
          <w:szCs w:val="28"/>
        </w:rPr>
        <w:t xml:space="preserve">а приобретение комплекса потрачено </w:t>
      </w:r>
      <w:r w:rsidR="00CD4510" w:rsidRPr="005E5581">
        <w:rPr>
          <w:rFonts w:ascii="Times New Roman" w:hAnsi="Times New Roman"/>
          <w:sz w:val="28"/>
          <w:szCs w:val="28"/>
        </w:rPr>
        <w:t xml:space="preserve">средств МБ - </w:t>
      </w:r>
      <w:r w:rsidRPr="005E5581">
        <w:rPr>
          <w:rFonts w:ascii="Times New Roman" w:hAnsi="Times New Roman"/>
          <w:sz w:val="28"/>
          <w:szCs w:val="28"/>
        </w:rPr>
        <w:t>10 404,3 тыс.</w:t>
      </w:r>
      <w:r w:rsidR="00CD4510" w:rsidRPr="005E5581">
        <w:rPr>
          <w:rFonts w:ascii="Times New Roman" w:hAnsi="Times New Roman"/>
          <w:sz w:val="28"/>
          <w:szCs w:val="28"/>
        </w:rPr>
        <w:t xml:space="preserve"> </w:t>
      </w:r>
      <w:r w:rsidRPr="005E5581">
        <w:rPr>
          <w:rFonts w:ascii="Times New Roman" w:hAnsi="Times New Roman"/>
          <w:sz w:val="28"/>
          <w:szCs w:val="28"/>
        </w:rPr>
        <w:t xml:space="preserve">руб.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В загородном оздоровительном центре «Елочка» реализовано строительство новой санитарной комнаты. Новое сооружение содержит 2 санузла (женский и мужской). В детских корпусах установлена автоматическая пожарная сигнализация, произведен монтаж дверей и перегородок, также во все корпуса приобретена мебель за счет средств местного бюджета на сумму 10 152,8 тыс.</w:t>
      </w:r>
      <w:r w:rsidR="00CD4510" w:rsidRPr="005E5581">
        <w:rPr>
          <w:rFonts w:ascii="Times New Roman" w:hAnsi="Times New Roman"/>
          <w:sz w:val="28"/>
          <w:szCs w:val="28"/>
        </w:rPr>
        <w:t xml:space="preserve"> </w:t>
      </w:r>
      <w:r w:rsidRPr="005E5581">
        <w:rPr>
          <w:rFonts w:ascii="Times New Roman" w:hAnsi="Times New Roman"/>
          <w:sz w:val="28"/>
          <w:szCs w:val="28"/>
        </w:rPr>
        <w:t>руб.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Наряду с большой проделанной работой в отчетном 2024 году все же имеются проблемы и нерешенные вопросы.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1. Изношенная материально-техническая база основных спортивных сооружений города: дворец спорта «Дельфин», стадион «Шахтер», спортивный комплекс «Снежинка» с ледовой ареной.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2. Отсутствие новых современных спортивных объектов, соответствующих всем необходимым требованиям, включая обеспечение доступности объекта для лиц с ОВЗ и инвалидов.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 Основные мероприятия, запланированные на 2025 год.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- Приобретение и установка модульного плавательного бассейна.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- Разработка ПСД на капитальный ремонт стадиона «Шахтер».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- Развитие сети клубов по месту жительства.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D4510" w:rsidRPr="005E5581" w:rsidRDefault="00C91727" w:rsidP="0011375B">
      <w:pPr>
        <w:widowControl w:val="0"/>
        <w:spacing w:line="276" w:lineRule="auto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E5581">
        <w:rPr>
          <w:rFonts w:ascii="Times New Roman" w:hAnsi="Times New Roman" w:cs="Times New Roman"/>
          <w:b/>
          <w:iCs/>
          <w:sz w:val="28"/>
          <w:szCs w:val="28"/>
        </w:rPr>
        <w:t>ТЕКУЩИЕ ПРОБЛЕМЫ СОЦИАЛЬНО-ЭКОНОМИЧЕСКОГО РАЗВИТИЯ МУНИЦИПАЛЬНОГО ОБРАЗОВАНИЯ «ПРОКОПЬЕВСКИЙ ГОРОДСКОЙ ОКРУГ».</w:t>
      </w:r>
    </w:p>
    <w:p w:rsidR="003A6F06" w:rsidRPr="005E5581" w:rsidRDefault="003A6F06" w:rsidP="00CD451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В 202</w:t>
      </w:r>
      <w:r w:rsidR="00172A09" w:rsidRPr="005E5581">
        <w:rPr>
          <w:rFonts w:ascii="Times New Roman" w:hAnsi="Times New Roman" w:cs="Times New Roman"/>
          <w:sz w:val="28"/>
          <w:szCs w:val="28"/>
        </w:rPr>
        <w:t>4</w:t>
      </w:r>
      <w:r w:rsidRPr="005E5581">
        <w:rPr>
          <w:rFonts w:ascii="Times New Roman" w:hAnsi="Times New Roman" w:cs="Times New Roman"/>
          <w:sz w:val="28"/>
          <w:szCs w:val="28"/>
        </w:rPr>
        <w:t>г. на экономику города оказывали влияние ряд негативных внешних факторов, связанных с политической ситуацией в стране. Многие предприятия оказались изолированы от коммерческих связей с зарубежными партнерами. В 202</w:t>
      </w:r>
      <w:r w:rsidR="00172A09" w:rsidRPr="005E5581">
        <w:rPr>
          <w:rFonts w:ascii="Times New Roman" w:hAnsi="Times New Roman" w:cs="Times New Roman"/>
          <w:sz w:val="28"/>
          <w:szCs w:val="28"/>
        </w:rPr>
        <w:t>4</w:t>
      </w:r>
      <w:r w:rsidRPr="005E5581">
        <w:rPr>
          <w:rFonts w:ascii="Times New Roman" w:hAnsi="Times New Roman" w:cs="Times New Roman"/>
          <w:sz w:val="28"/>
          <w:szCs w:val="28"/>
        </w:rPr>
        <w:t>г. последствия еще присутствуют (санкции, снижение цен на уголь), но в целом реальный сектор экономики стабилизируется, ряд предприятий настроили свои производства на импортозамещение, что дает толчок новому экономическому импульсу.</w:t>
      </w:r>
    </w:p>
    <w:p w:rsidR="003A6F06" w:rsidRPr="005E5581" w:rsidRDefault="003A6F06" w:rsidP="00CD4510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>Наблюдается нехватка квалифицированных кадров в машиностроении (токари, сварщики), угольной отрасли, высока потребность в водителях общественного транспорта, юристах, экономистах.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Не менее важной проблемой города является наличие 8 рассредоточенных поселков, где проживает 50% населения, в том числе 3 поселка расположены на горных отводах закрытых угольных предприятий.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 xml:space="preserve">Переселение с подработанных шахтами территорий осуществляется за счет средств федерального бюджета в рамках Комплексной программы поэтапной ликвидации убыточных шахт и переселения жителей с подработанных территорий. 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5581">
        <w:rPr>
          <w:rFonts w:ascii="Times New Roman" w:hAnsi="Times New Roman"/>
          <w:sz w:val="28"/>
          <w:szCs w:val="28"/>
        </w:rPr>
        <w:t>Заканчивается точечная застройка. Все острее встает вопрос о комплексном строительстве. Отсутствие денежных средств на разработку проектов планировки новых микрорайонов, а также отсутствие инженерной инфраструктуры земельных участков под жилищное строительство.</w:t>
      </w:r>
    </w:p>
    <w:p w:rsidR="003A6F06" w:rsidRPr="005E5581" w:rsidRDefault="003A6F06" w:rsidP="003A6F06">
      <w:pPr>
        <w:pStyle w:val="aa"/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A6F06" w:rsidRPr="005E5581" w:rsidRDefault="003A6F06" w:rsidP="00D750CB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581">
        <w:rPr>
          <w:rFonts w:ascii="Times New Roman" w:hAnsi="Times New Roman" w:cs="Times New Roman"/>
          <w:sz w:val="28"/>
          <w:szCs w:val="28"/>
        </w:rPr>
        <w:t xml:space="preserve">Начальник отдела экономического развития </w:t>
      </w:r>
    </w:p>
    <w:p w:rsidR="00FC54B3" w:rsidRPr="00C91727" w:rsidRDefault="003A6F06" w:rsidP="00C91727">
      <w:pPr>
        <w:pStyle w:val="aa"/>
        <w:widowControl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E5581">
        <w:rPr>
          <w:rFonts w:ascii="Times New Roman" w:hAnsi="Times New Roman"/>
          <w:sz w:val="28"/>
          <w:szCs w:val="28"/>
        </w:rPr>
        <w:t xml:space="preserve">и инвестиций администрации города </w:t>
      </w:r>
      <w:r w:rsidRPr="003F51A3">
        <w:rPr>
          <w:rFonts w:ascii="Times New Roman" w:hAnsi="Times New Roman"/>
          <w:sz w:val="26"/>
          <w:szCs w:val="26"/>
        </w:rPr>
        <w:t xml:space="preserve">Прокопьевска                              </w:t>
      </w:r>
      <w:r w:rsidR="00CD4510">
        <w:rPr>
          <w:rFonts w:ascii="Times New Roman" w:hAnsi="Times New Roman"/>
          <w:sz w:val="26"/>
          <w:szCs w:val="26"/>
        </w:rPr>
        <w:t xml:space="preserve">        </w:t>
      </w:r>
      <w:r w:rsidRPr="003F51A3">
        <w:rPr>
          <w:rFonts w:ascii="Times New Roman" w:hAnsi="Times New Roman"/>
          <w:sz w:val="26"/>
          <w:szCs w:val="26"/>
        </w:rPr>
        <w:t xml:space="preserve">      </w:t>
      </w:r>
      <w:bookmarkStart w:id="9" w:name="_Hlk190099958"/>
      <w:r w:rsidRPr="003F51A3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.А. Каширская</w:t>
      </w:r>
      <w:bookmarkEnd w:id="9"/>
    </w:p>
    <w:sectPr w:rsidR="00FC54B3" w:rsidRPr="00C91727" w:rsidSect="00A51ECC">
      <w:headerReference w:type="default" r:id="rId13"/>
      <w:type w:val="continuous"/>
      <w:pgSz w:w="11906" w:h="16838"/>
      <w:pgMar w:top="567" w:right="707" w:bottom="426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DA9" w:rsidRDefault="006A4DA9" w:rsidP="00093052">
      <w:pPr>
        <w:spacing w:after="0" w:line="240" w:lineRule="auto"/>
      </w:pPr>
      <w:r>
        <w:separator/>
      </w:r>
    </w:p>
  </w:endnote>
  <w:endnote w:type="continuationSeparator" w:id="0">
    <w:p w:rsidR="006A4DA9" w:rsidRDefault="006A4DA9" w:rsidP="0009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DA9" w:rsidRDefault="006A4DA9" w:rsidP="00093052">
      <w:pPr>
        <w:spacing w:after="0" w:line="240" w:lineRule="auto"/>
      </w:pPr>
      <w:r>
        <w:separator/>
      </w:r>
    </w:p>
  </w:footnote>
  <w:footnote w:type="continuationSeparator" w:id="0">
    <w:p w:rsidR="006A4DA9" w:rsidRDefault="006A4DA9" w:rsidP="0009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4583998"/>
      <w:docPartObj>
        <w:docPartGallery w:val="Page Numbers (Top of Page)"/>
        <w:docPartUnique/>
      </w:docPartObj>
    </w:sdtPr>
    <w:sdtContent>
      <w:p w:rsidR="006A4DA9" w:rsidRDefault="006A4DA9">
        <w:pPr>
          <w:pStyle w:val="a5"/>
          <w:jc w:val="right"/>
        </w:pPr>
        <w:r w:rsidRPr="00542150">
          <w:fldChar w:fldCharType="begin"/>
        </w:r>
        <w:r w:rsidRPr="00542150">
          <w:instrText>PAGE   \* MERGEFORMAT</w:instrText>
        </w:r>
        <w:r w:rsidRPr="00542150">
          <w:fldChar w:fldCharType="separate"/>
        </w:r>
        <w:r w:rsidRPr="00542150">
          <w:t>2</w:t>
        </w:r>
        <w:r w:rsidRPr="00542150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34"/>
        <w:szCs w:val="34"/>
        <w:u w:val="no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34"/>
        <w:szCs w:val="34"/>
        <w:u w:val="no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34"/>
        <w:szCs w:val="34"/>
        <w:u w:val="no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34"/>
        <w:szCs w:val="34"/>
        <w:u w:val="no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34"/>
        <w:szCs w:val="34"/>
        <w:u w:val="no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34"/>
        <w:szCs w:val="34"/>
        <w:u w:val="no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34"/>
        <w:szCs w:val="34"/>
        <w:u w:val="no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34"/>
        <w:szCs w:val="34"/>
        <w:u w:val="no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34"/>
        <w:szCs w:val="34"/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u w:val="none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u w:val="none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u w:val="none"/>
      </w:rPr>
    </w:lvl>
  </w:abstractNum>
  <w:abstractNum w:abstractNumId="3" w15:restartNumberingAfterBreak="0">
    <w:nsid w:val="018458FA"/>
    <w:multiLevelType w:val="hybridMultilevel"/>
    <w:tmpl w:val="366C1452"/>
    <w:lvl w:ilvl="0" w:tplc="DED6794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2ED6AC1"/>
    <w:multiLevelType w:val="hybridMultilevel"/>
    <w:tmpl w:val="CF70B154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041305BC"/>
    <w:multiLevelType w:val="hybridMultilevel"/>
    <w:tmpl w:val="04C0B444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6" w15:restartNumberingAfterBreak="0">
    <w:nsid w:val="09E1327A"/>
    <w:multiLevelType w:val="hybridMultilevel"/>
    <w:tmpl w:val="5B5EAA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A2657E"/>
    <w:multiLevelType w:val="hybridMultilevel"/>
    <w:tmpl w:val="A00C8E38"/>
    <w:lvl w:ilvl="0" w:tplc="A626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B3C4D"/>
    <w:multiLevelType w:val="hybridMultilevel"/>
    <w:tmpl w:val="44AC0F4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9" w15:restartNumberingAfterBreak="0">
    <w:nsid w:val="101A5B46"/>
    <w:multiLevelType w:val="hybridMultilevel"/>
    <w:tmpl w:val="6C1E5148"/>
    <w:lvl w:ilvl="0" w:tplc="F87446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6559B"/>
    <w:multiLevelType w:val="hybridMultilevel"/>
    <w:tmpl w:val="C99E4070"/>
    <w:lvl w:ilvl="0" w:tplc="6F1C22A6">
      <w:start w:val="1"/>
      <w:numFmt w:val="decimal"/>
      <w:lvlText w:val="%1."/>
      <w:lvlJc w:val="left"/>
      <w:pPr>
        <w:ind w:left="1068" w:hanging="360"/>
      </w:pPr>
      <w:rPr>
        <w:rFonts w:eastAsia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D395878"/>
    <w:multiLevelType w:val="hybridMultilevel"/>
    <w:tmpl w:val="90E4174A"/>
    <w:lvl w:ilvl="0" w:tplc="A6269280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2" w15:restartNumberingAfterBreak="0">
    <w:nsid w:val="1E816635"/>
    <w:multiLevelType w:val="hybridMultilevel"/>
    <w:tmpl w:val="893C38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E9B5011"/>
    <w:multiLevelType w:val="hybridMultilevel"/>
    <w:tmpl w:val="0AE8B688"/>
    <w:lvl w:ilvl="0" w:tplc="21D4217C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228F0491"/>
    <w:multiLevelType w:val="hybridMultilevel"/>
    <w:tmpl w:val="76CAB0A0"/>
    <w:lvl w:ilvl="0" w:tplc="F87446B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6D266D"/>
    <w:multiLevelType w:val="hybridMultilevel"/>
    <w:tmpl w:val="C9D81C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9E636E"/>
    <w:multiLevelType w:val="hybridMultilevel"/>
    <w:tmpl w:val="359CFC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428AF"/>
    <w:multiLevelType w:val="hybridMultilevel"/>
    <w:tmpl w:val="1400A708"/>
    <w:lvl w:ilvl="0" w:tplc="F87446B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B37BB4"/>
    <w:multiLevelType w:val="hybridMultilevel"/>
    <w:tmpl w:val="FB08E90E"/>
    <w:lvl w:ilvl="0" w:tplc="F87446B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737AA7"/>
    <w:multiLevelType w:val="hybridMultilevel"/>
    <w:tmpl w:val="E716BCB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4A487A7D"/>
    <w:multiLevelType w:val="hybridMultilevel"/>
    <w:tmpl w:val="AD66A804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E45C14"/>
    <w:multiLevelType w:val="hybridMultilevel"/>
    <w:tmpl w:val="79E836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D323716"/>
    <w:multiLevelType w:val="hybridMultilevel"/>
    <w:tmpl w:val="87FE9FA8"/>
    <w:lvl w:ilvl="0" w:tplc="F87446B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01E22B6"/>
    <w:multiLevelType w:val="hybridMultilevel"/>
    <w:tmpl w:val="8FAEA836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4" w15:restartNumberingAfterBreak="0">
    <w:nsid w:val="60A74001"/>
    <w:multiLevelType w:val="hybridMultilevel"/>
    <w:tmpl w:val="2FA435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6D40C8"/>
    <w:multiLevelType w:val="hybridMultilevel"/>
    <w:tmpl w:val="98A6ACD8"/>
    <w:lvl w:ilvl="0" w:tplc="F87446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305761"/>
    <w:multiLevelType w:val="hybridMultilevel"/>
    <w:tmpl w:val="FEB2A8D8"/>
    <w:lvl w:ilvl="0" w:tplc="A6269280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7" w15:restartNumberingAfterBreak="0">
    <w:nsid w:val="665A4F74"/>
    <w:multiLevelType w:val="hybridMultilevel"/>
    <w:tmpl w:val="C082BDEC"/>
    <w:lvl w:ilvl="0" w:tplc="A6269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85805"/>
    <w:multiLevelType w:val="hybridMultilevel"/>
    <w:tmpl w:val="FA82F55C"/>
    <w:lvl w:ilvl="0" w:tplc="A62692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93F32CA"/>
    <w:multiLevelType w:val="hybridMultilevel"/>
    <w:tmpl w:val="4EF6887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6"/>
  </w:num>
  <w:num w:numId="3">
    <w:abstractNumId w:val="1"/>
  </w:num>
  <w:num w:numId="4">
    <w:abstractNumId w:val="2"/>
  </w:num>
  <w:num w:numId="5">
    <w:abstractNumId w:val="0"/>
  </w:num>
  <w:num w:numId="6">
    <w:abstractNumId w:val="19"/>
  </w:num>
  <w:num w:numId="7">
    <w:abstractNumId w:val="4"/>
  </w:num>
  <w:num w:numId="8">
    <w:abstractNumId w:val="23"/>
  </w:num>
  <w:num w:numId="9">
    <w:abstractNumId w:val="29"/>
  </w:num>
  <w:num w:numId="10">
    <w:abstractNumId w:val="28"/>
  </w:num>
  <w:num w:numId="11">
    <w:abstractNumId w:val="14"/>
  </w:num>
  <w:num w:numId="12">
    <w:abstractNumId w:val="17"/>
  </w:num>
  <w:num w:numId="13">
    <w:abstractNumId w:val="25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"/>
  </w:num>
  <w:num w:numId="20">
    <w:abstractNumId w:val="16"/>
  </w:num>
  <w:num w:numId="21">
    <w:abstractNumId w:val="27"/>
  </w:num>
  <w:num w:numId="22">
    <w:abstractNumId w:val="24"/>
  </w:num>
  <w:num w:numId="23">
    <w:abstractNumId w:val="6"/>
  </w:num>
  <w:num w:numId="24">
    <w:abstractNumId w:val="11"/>
  </w:num>
  <w:num w:numId="25">
    <w:abstractNumId w:val="12"/>
  </w:num>
  <w:num w:numId="26">
    <w:abstractNumId w:val="18"/>
  </w:num>
  <w:num w:numId="27">
    <w:abstractNumId w:val="21"/>
  </w:num>
  <w:num w:numId="28">
    <w:abstractNumId w:val="15"/>
  </w:num>
  <w:num w:numId="29">
    <w:abstractNumId w:val="8"/>
  </w:num>
  <w:num w:numId="30">
    <w:abstractNumId w:val="22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90"/>
    <w:rsid w:val="000044B6"/>
    <w:rsid w:val="00032E80"/>
    <w:rsid w:val="0005187A"/>
    <w:rsid w:val="00063686"/>
    <w:rsid w:val="00076533"/>
    <w:rsid w:val="00077B57"/>
    <w:rsid w:val="00087E2F"/>
    <w:rsid w:val="00093052"/>
    <w:rsid w:val="000954FB"/>
    <w:rsid w:val="000A062E"/>
    <w:rsid w:val="000C0F1D"/>
    <w:rsid w:val="000D5BB4"/>
    <w:rsid w:val="000F2C85"/>
    <w:rsid w:val="000F642E"/>
    <w:rsid w:val="00105832"/>
    <w:rsid w:val="00112E48"/>
    <w:rsid w:val="0011375B"/>
    <w:rsid w:val="001268B1"/>
    <w:rsid w:val="00142DAD"/>
    <w:rsid w:val="001510B8"/>
    <w:rsid w:val="00172A09"/>
    <w:rsid w:val="001823AE"/>
    <w:rsid w:val="00196085"/>
    <w:rsid w:val="001A1032"/>
    <w:rsid w:val="001A109A"/>
    <w:rsid w:val="001C082E"/>
    <w:rsid w:val="001C1569"/>
    <w:rsid w:val="001C4B68"/>
    <w:rsid w:val="001E5492"/>
    <w:rsid w:val="002147E3"/>
    <w:rsid w:val="002218D3"/>
    <w:rsid w:val="00231BFE"/>
    <w:rsid w:val="0026432A"/>
    <w:rsid w:val="00265ABA"/>
    <w:rsid w:val="00272F0B"/>
    <w:rsid w:val="002A3F81"/>
    <w:rsid w:val="002B2A4C"/>
    <w:rsid w:val="002C70B2"/>
    <w:rsid w:val="002F07BE"/>
    <w:rsid w:val="003106DB"/>
    <w:rsid w:val="00311385"/>
    <w:rsid w:val="00324951"/>
    <w:rsid w:val="00326182"/>
    <w:rsid w:val="00327B03"/>
    <w:rsid w:val="00334FCF"/>
    <w:rsid w:val="00337304"/>
    <w:rsid w:val="00340A2E"/>
    <w:rsid w:val="0034484A"/>
    <w:rsid w:val="00373857"/>
    <w:rsid w:val="003805B6"/>
    <w:rsid w:val="00386889"/>
    <w:rsid w:val="003928AF"/>
    <w:rsid w:val="003A6F06"/>
    <w:rsid w:val="003C1FB4"/>
    <w:rsid w:val="003D3B0D"/>
    <w:rsid w:val="004002A2"/>
    <w:rsid w:val="004136C1"/>
    <w:rsid w:val="00430F79"/>
    <w:rsid w:val="00467702"/>
    <w:rsid w:val="004700DE"/>
    <w:rsid w:val="0047721D"/>
    <w:rsid w:val="00482FB2"/>
    <w:rsid w:val="0048772E"/>
    <w:rsid w:val="0049145F"/>
    <w:rsid w:val="004A2033"/>
    <w:rsid w:val="004C2179"/>
    <w:rsid w:val="00504CF1"/>
    <w:rsid w:val="00514C3D"/>
    <w:rsid w:val="00522F30"/>
    <w:rsid w:val="00532715"/>
    <w:rsid w:val="00542150"/>
    <w:rsid w:val="0056199D"/>
    <w:rsid w:val="00597B42"/>
    <w:rsid w:val="005A32B5"/>
    <w:rsid w:val="005A6D0D"/>
    <w:rsid w:val="005B1A3E"/>
    <w:rsid w:val="005B6490"/>
    <w:rsid w:val="005D6234"/>
    <w:rsid w:val="005D6AE2"/>
    <w:rsid w:val="005E5581"/>
    <w:rsid w:val="005F1B9D"/>
    <w:rsid w:val="00611430"/>
    <w:rsid w:val="006127D8"/>
    <w:rsid w:val="00616A52"/>
    <w:rsid w:val="00625C06"/>
    <w:rsid w:val="006322A0"/>
    <w:rsid w:val="006452AD"/>
    <w:rsid w:val="006511ED"/>
    <w:rsid w:val="006576D5"/>
    <w:rsid w:val="00664DB6"/>
    <w:rsid w:val="00686E44"/>
    <w:rsid w:val="00687BB6"/>
    <w:rsid w:val="006A1372"/>
    <w:rsid w:val="006A4DA9"/>
    <w:rsid w:val="006B1015"/>
    <w:rsid w:val="006C1EE4"/>
    <w:rsid w:val="006C3A70"/>
    <w:rsid w:val="006C41A6"/>
    <w:rsid w:val="006F18C3"/>
    <w:rsid w:val="00705262"/>
    <w:rsid w:val="007128FC"/>
    <w:rsid w:val="0073220B"/>
    <w:rsid w:val="007412A7"/>
    <w:rsid w:val="0074782E"/>
    <w:rsid w:val="00770293"/>
    <w:rsid w:val="007B3E89"/>
    <w:rsid w:val="007F00D0"/>
    <w:rsid w:val="007F384F"/>
    <w:rsid w:val="00814180"/>
    <w:rsid w:val="008317BA"/>
    <w:rsid w:val="0086111A"/>
    <w:rsid w:val="00865A50"/>
    <w:rsid w:val="008857B9"/>
    <w:rsid w:val="00891C1E"/>
    <w:rsid w:val="00895471"/>
    <w:rsid w:val="008A716C"/>
    <w:rsid w:val="008B6A9A"/>
    <w:rsid w:val="00904508"/>
    <w:rsid w:val="00916201"/>
    <w:rsid w:val="00916429"/>
    <w:rsid w:val="00931ACF"/>
    <w:rsid w:val="0094767E"/>
    <w:rsid w:val="00965B7F"/>
    <w:rsid w:val="00965E9B"/>
    <w:rsid w:val="00975435"/>
    <w:rsid w:val="009A3BAD"/>
    <w:rsid w:val="009C1BE9"/>
    <w:rsid w:val="009C2414"/>
    <w:rsid w:val="009C4C60"/>
    <w:rsid w:val="009E4E35"/>
    <w:rsid w:val="009E7B3B"/>
    <w:rsid w:val="00A10B72"/>
    <w:rsid w:val="00A316D8"/>
    <w:rsid w:val="00A4076D"/>
    <w:rsid w:val="00A51ECC"/>
    <w:rsid w:val="00A56CD5"/>
    <w:rsid w:val="00A76A97"/>
    <w:rsid w:val="00A93E65"/>
    <w:rsid w:val="00A9567B"/>
    <w:rsid w:val="00AA1325"/>
    <w:rsid w:val="00AB1248"/>
    <w:rsid w:val="00AB6BE5"/>
    <w:rsid w:val="00AC1CED"/>
    <w:rsid w:val="00AD427F"/>
    <w:rsid w:val="00B16106"/>
    <w:rsid w:val="00B37671"/>
    <w:rsid w:val="00B76457"/>
    <w:rsid w:val="00B7746B"/>
    <w:rsid w:val="00B8183F"/>
    <w:rsid w:val="00B81884"/>
    <w:rsid w:val="00BA300F"/>
    <w:rsid w:val="00BA3170"/>
    <w:rsid w:val="00C05D19"/>
    <w:rsid w:val="00C06FB0"/>
    <w:rsid w:val="00C12038"/>
    <w:rsid w:val="00C17053"/>
    <w:rsid w:val="00C44189"/>
    <w:rsid w:val="00C56811"/>
    <w:rsid w:val="00C70BCF"/>
    <w:rsid w:val="00C91727"/>
    <w:rsid w:val="00CC5757"/>
    <w:rsid w:val="00CD4510"/>
    <w:rsid w:val="00CD7FF1"/>
    <w:rsid w:val="00CE2718"/>
    <w:rsid w:val="00D02FCD"/>
    <w:rsid w:val="00D2000E"/>
    <w:rsid w:val="00D31F8A"/>
    <w:rsid w:val="00D34109"/>
    <w:rsid w:val="00D40F15"/>
    <w:rsid w:val="00D41DDA"/>
    <w:rsid w:val="00D62298"/>
    <w:rsid w:val="00D66B70"/>
    <w:rsid w:val="00D750CB"/>
    <w:rsid w:val="00D818AA"/>
    <w:rsid w:val="00D82B0B"/>
    <w:rsid w:val="00DA42F5"/>
    <w:rsid w:val="00DB1E37"/>
    <w:rsid w:val="00DB5336"/>
    <w:rsid w:val="00DE41AC"/>
    <w:rsid w:val="00E03F64"/>
    <w:rsid w:val="00E048C2"/>
    <w:rsid w:val="00E27CD8"/>
    <w:rsid w:val="00E3346C"/>
    <w:rsid w:val="00E35619"/>
    <w:rsid w:val="00E85D51"/>
    <w:rsid w:val="00EA20F4"/>
    <w:rsid w:val="00EA67BE"/>
    <w:rsid w:val="00EB3242"/>
    <w:rsid w:val="00EB4A11"/>
    <w:rsid w:val="00EC0DDE"/>
    <w:rsid w:val="00EC3B87"/>
    <w:rsid w:val="00ED30E1"/>
    <w:rsid w:val="00EE2149"/>
    <w:rsid w:val="00EE56E9"/>
    <w:rsid w:val="00EF1916"/>
    <w:rsid w:val="00EF56E9"/>
    <w:rsid w:val="00F12DDF"/>
    <w:rsid w:val="00F14093"/>
    <w:rsid w:val="00F22FD3"/>
    <w:rsid w:val="00F26D40"/>
    <w:rsid w:val="00F34213"/>
    <w:rsid w:val="00F347DA"/>
    <w:rsid w:val="00FC54B3"/>
    <w:rsid w:val="00FD4F55"/>
    <w:rsid w:val="00FE2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FCD831"/>
  <w15:docId w15:val="{551AB544-29F2-4CB6-AF8B-D361B21C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1385"/>
  </w:style>
  <w:style w:type="paragraph" w:styleId="3">
    <w:name w:val="heading 3"/>
    <w:basedOn w:val="a"/>
    <w:next w:val="a"/>
    <w:link w:val="30"/>
    <w:uiPriority w:val="9"/>
    <w:unhideWhenUsed/>
    <w:qFormat/>
    <w:rsid w:val="00D40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72F0B"/>
    <w:pPr>
      <w:widowControl w:val="0"/>
      <w:suppressAutoHyphens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kern w:val="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F1B9D"/>
    <w:pPr>
      <w:widowControl w:val="0"/>
      <w:suppressAutoHyphens/>
      <w:spacing w:after="120" w:line="240" w:lineRule="auto"/>
    </w:pPr>
    <w:rPr>
      <w:rFonts w:ascii="Arial" w:eastAsia="Times New Roman" w:hAnsi="Arial" w:cs="Arial"/>
      <w:kern w:val="1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F1B9D"/>
    <w:rPr>
      <w:rFonts w:ascii="Arial" w:eastAsia="Times New Roman" w:hAnsi="Arial" w:cs="Arial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5F1B9D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5F1B9D"/>
    <w:rPr>
      <w:rFonts w:ascii="Arial" w:eastAsia="Times New Roman" w:hAnsi="Arial" w:cs="Arial"/>
      <w:kern w:val="1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5F1B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F1B9D"/>
  </w:style>
  <w:style w:type="table" w:customStyle="1" w:styleId="-751">
    <w:name w:val="Список-таблица 7 цветная — акцент 51"/>
    <w:basedOn w:val="a1"/>
    <w:uiPriority w:val="52"/>
    <w:rsid w:val="005F1B9D"/>
    <w:pPr>
      <w:spacing w:after="0" w:line="240" w:lineRule="auto"/>
    </w:pPr>
    <w:rPr>
      <w:rFonts w:ascii="Times New Roman" w:eastAsia="Times New Roman" w:hAnsi="Times New Roman" w:cs="Times New Roman"/>
      <w:color w:val="2E74B5" w:themeColor="accent5" w:themeShade="BF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2">
    <w:name w:val="Body Text Indent 2"/>
    <w:basedOn w:val="a"/>
    <w:link w:val="20"/>
    <w:uiPriority w:val="99"/>
    <w:rsid w:val="000A062E"/>
    <w:pPr>
      <w:widowControl w:val="0"/>
      <w:suppressAutoHyphens/>
      <w:spacing w:after="120" w:line="480" w:lineRule="auto"/>
      <w:ind w:left="283"/>
    </w:pPr>
    <w:rPr>
      <w:rFonts w:ascii="Arial" w:eastAsia="Times New Roman" w:hAnsi="Arial" w:cs="Arial"/>
      <w:kern w:val="1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A062E"/>
    <w:rPr>
      <w:rFonts w:ascii="Arial" w:eastAsia="Times New Roman" w:hAnsi="Arial" w:cs="Arial"/>
      <w:kern w:val="1"/>
      <w:sz w:val="20"/>
      <w:szCs w:val="20"/>
      <w:lang w:eastAsia="ru-RU"/>
    </w:rPr>
  </w:style>
  <w:style w:type="table" w:customStyle="1" w:styleId="-211">
    <w:name w:val="Список-таблица 2 — акцент 11"/>
    <w:basedOn w:val="a1"/>
    <w:uiPriority w:val="47"/>
    <w:rsid w:val="00112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9">
    <w:name w:val="Hyperlink"/>
    <w:uiPriority w:val="99"/>
    <w:rsid w:val="00112E48"/>
    <w:rPr>
      <w:rFonts w:cs="Times New Roman"/>
      <w:color w:val="0000FF"/>
      <w:u w:val="single"/>
    </w:rPr>
  </w:style>
  <w:style w:type="paragraph" w:styleId="aa">
    <w:name w:val="No Spacing"/>
    <w:aliases w:val="СТАНДАРТ,БЛИН"/>
    <w:link w:val="1"/>
    <w:uiPriority w:val="1"/>
    <w:qFormat/>
    <w:rsid w:val="006127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Без интервала Знак1"/>
    <w:aliases w:val="СТАНДАРТ Знак1,БЛИН Знак1"/>
    <w:link w:val="aa"/>
    <w:uiPriority w:val="99"/>
    <w:locked/>
    <w:rsid w:val="006127D8"/>
    <w:rPr>
      <w:rFonts w:ascii="Calibri" w:eastAsia="Times New Roman" w:hAnsi="Calibri" w:cs="Times New Roman"/>
    </w:rPr>
  </w:style>
  <w:style w:type="table" w:customStyle="1" w:styleId="-151">
    <w:name w:val="Список-таблица 1 светлая — акцент 51"/>
    <w:basedOn w:val="a1"/>
    <w:uiPriority w:val="46"/>
    <w:rsid w:val="0052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b">
    <w:name w:val="List Paragraph"/>
    <w:basedOn w:val="a"/>
    <w:link w:val="ac"/>
    <w:uiPriority w:val="34"/>
    <w:qFormat/>
    <w:rsid w:val="00522F30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93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93052"/>
  </w:style>
  <w:style w:type="character" w:customStyle="1" w:styleId="50">
    <w:name w:val="Заголовок 5 Знак"/>
    <w:basedOn w:val="a0"/>
    <w:link w:val="5"/>
    <w:uiPriority w:val="99"/>
    <w:rsid w:val="00272F0B"/>
    <w:rPr>
      <w:rFonts w:ascii="Arial" w:eastAsia="Times New Roman" w:hAnsi="Arial" w:cs="Arial"/>
      <w:b/>
      <w:bCs/>
      <w:i/>
      <w:iCs/>
      <w:kern w:val="1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C54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C54B3"/>
    <w:rPr>
      <w:sz w:val="16"/>
      <w:szCs w:val="16"/>
    </w:rPr>
  </w:style>
  <w:style w:type="paragraph" w:styleId="21">
    <w:name w:val="Body Text 2"/>
    <w:basedOn w:val="a"/>
    <w:link w:val="22"/>
    <w:uiPriority w:val="99"/>
    <w:rsid w:val="00FC54B3"/>
    <w:pPr>
      <w:widowControl w:val="0"/>
      <w:suppressAutoHyphens/>
      <w:spacing w:after="120" w:line="480" w:lineRule="auto"/>
    </w:pPr>
    <w:rPr>
      <w:rFonts w:ascii="Arial" w:eastAsia="Times New Roman" w:hAnsi="Arial" w:cs="Arial"/>
      <w:kern w:val="1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C54B3"/>
    <w:rPr>
      <w:rFonts w:ascii="Arial" w:eastAsia="Times New Roman" w:hAnsi="Arial" w:cs="Arial"/>
      <w:kern w:val="1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C54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C54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FC54B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table" w:customStyle="1" w:styleId="-111">
    <w:name w:val="Список-таблица 1 светлая — акцент 11"/>
    <w:basedOn w:val="a1"/>
    <w:uiPriority w:val="46"/>
    <w:rsid w:val="003A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f">
    <w:name w:val="Normal (Web)"/>
    <w:basedOn w:val="a"/>
    <w:uiPriority w:val="99"/>
    <w:rsid w:val="003A6F0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Без интервала2"/>
    <w:link w:val="af0"/>
    <w:uiPriority w:val="1"/>
    <w:rsid w:val="003A6F06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lang w:eastAsia="ru-RU"/>
    </w:rPr>
  </w:style>
  <w:style w:type="character" w:customStyle="1" w:styleId="af0">
    <w:name w:val="Без интервала Знак"/>
    <w:aliases w:val="СТАНДАРТ Знак,БЛИН Знак"/>
    <w:link w:val="23"/>
    <w:uiPriority w:val="1"/>
    <w:locked/>
    <w:rsid w:val="003A6F06"/>
    <w:rPr>
      <w:rFonts w:ascii="Arial" w:eastAsia="Times New Roman" w:hAnsi="Arial" w:cs="Times New Roman"/>
      <w:kern w:val="1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C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C41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40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c">
    <w:name w:val="Абзац списка Знак"/>
    <w:link w:val="ab"/>
    <w:uiPriority w:val="34"/>
    <w:locked/>
    <w:rsid w:val="00D40F15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40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9066903120878923"/>
          <c:y val="6.6802169013259957E-2"/>
          <c:w val="0.33758046116111384"/>
          <c:h val="0.81908753622339958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0-6759-4275-A405-75A279272D03}"/>
              </c:ext>
            </c:extLst>
          </c:dPt>
          <c:dLbls>
            <c:dLbl>
              <c:idx val="0"/>
              <c:layout>
                <c:manualLayout>
                  <c:x val="0.21461605219485455"/>
                  <c:y val="0.3972601662677627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Добыча полезных ископаемых  37,9%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738718849457233"/>
                      <c:h val="0.249859131223838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759-4275-A405-75A279272D03}"/>
                </c:ext>
              </c:extLst>
            </c:dLbl>
            <c:dLbl>
              <c:idx val="1"/>
              <c:layout>
                <c:manualLayout>
                  <c:x val="-0.28368171875671533"/>
                  <c:y val="9.61178463803135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Обрабатывающие производства   39,5%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152169143177696"/>
                      <c:h val="0.228656975956399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6759-4275-A405-75A279272D03}"/>
                </c:ext>
              </c:extLst>
            </c:dLbl>
            <c:dLbl>
              <c:idx val="2"/>
              <c:layout>
                <c:manualLayout>
                  <c:x val="-0.25825241034758617"/>
                  <c:y val="7.054696866595379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Обеспечение электрической энергией, газом и паром; кондиционирование воздуха  19 %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19665209185826"/>
                      <c:h val="0.46088351944391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759-4275-A405-75A279272D03}"/>
                </c:ext>
              </c:extLst>
            </c:dLbl>
            <c:dLbl>
              <c:idx val="3"/>
              <c:layout>
                <c:manualLayout>
                  <c:x val="0.31432523462576362"/>
                  <c:y val="8.8720616971336763E-2"/>
                </c:manualLayout>
              </c:layout>
              <c:tx>
                <c:rich>
                  <a:bodyPr rot="0" spcFirstLastPara="1" vertOverflow="ellipsis" vert="horz" wrap="square" anchor="ctr" anchorCtr="0"/>
                  <a:lstStyle/>
                  <a:p>
                    <a:pPr algn="l">
                      <a:defRPr sz="13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 sz="1300"/>
                      <a:t>Водоснабжение; водоотведение,        организация сбора и утилизации отходов, деятельность по ликвидации загрязнений  3,6 %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851226870125865"/>
                      <c:h val="0.6090325713691074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759-4275-A405-75A279272D03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l">
                  <a:defRPr sz="13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электрической энергией, газом и паром;кондиционирование воздуха</c:v>
                </c:pt>
                <c:pt idx="3">
                  <c:v>Водоснабжение; водоотведение, организация сбра и утилизации отходов, деятельность по ликвидации загрязнений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 formatCode="0.000">
                  <c:v>10289.337</c:v>
                </c:pt>
                <c:pt idx="1">
                  <c:v>10700.717000000002</c:v>
                </c:pt>
                <c:pt idx="2">
                  <c:v>5155.05</c:v>
                </c:pt>
                <c:pt idx="3">
                  <c:v>976.86099999999965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59-4275-A405-75A279272D0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eparator>
</c:separator>
          <c:showLeaderLines val="0"/>
        </c:dLbls>
        <c:firstSliceAng val="13"/>
        <c:holeSize val="53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rgbClr val="44546A"/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8197369122357657"/>
          <c:y val="3.2908072420595666E-2"/>
          <c:w val="0.45332427196600422"/>
          <c:h val="0.96709178019414244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05-4515-BE31-1F683B88FF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05-4515-BE31-1F683B88FF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505-4515-BE31-1F683B88FF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505-4515-BE31-1F683B88FFD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505-4515-BE31-1F683B88FFD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505-4515-BE31-1F683B88FFD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505-4515-BE31-1F683B88FFD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505-4515-BE31-1F683B88FFD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A505-4515-BE31-1F683B88FFD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A505-4515-BE31-1F683B88FFD1}"/>
              </c:ext>
            </c:extLst>
          </c:dPt>
          <c:dLbls>
            <c:dLbl>
              <c:idx val="0"/>
              <c:layout>
                <c:manualLayout>
                  <c:x val="-0.50216545570613758"/>
                  <c:y val="8.257855553229571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 sz="1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5BA93C44-7BE4-48F1-B576-0218BD4FBE8C}" type="CATEGORYNAME">
                      <a:rPr lang="ru-RU" sz="1400" baseline="0">
                        <a:solidFill>
                          <a:schemeClr val="tx1"/>
                        </a:solidFill>
                      </a:rPr>
                      <a:pPr algn="l">
                        <a:defRPr sz="1400" b="0" i="0" u="none" strike="noStrike" kern="1200" baseline="0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400" baseline="0">
                        <a:solidFill>
                          <a:schemeClr val="tx1"/>
                        </a:solidFill>
                      </a:rPr>
                      <a:t>  </a:t>
                    </a:r>
                    <a:fld id="{8BF8CCF4-3022-4BC0-828B-BE786E87CB1D}" type="PERCENTAGE">
                      <a:rPr lang="ru-RU" sz="1400" baseline="0">
                        <a:solidFill>
                          <a:schemeClr val="tx1"/>
                        </a:solidFill>
                      </a:rPr>
                      <a:pPr algn="l">
                        <a:defRPr sz="1400" b="0" i="0" u="none" strike="noStrike" kern="1200" baseline="0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400" baseline="0">
                      <a:solidFill>
                        <a:schemeClr val="tx1"/>
                      </a:solidFill>
                    </a:endParaRP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124672041125948"/>
                      <c:h val="0.1808427212930042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505-4515-BE31-1F683B88FFD1}"/>
                </c:ext>
              </c:extLst>
            </c:dLbl>
            <c:dLbl>
              <c:idx val="1"/>
              <c:layout>
                <c:manualLayout>
                  <c:x val="-0.41179171126685254"/>
                  <c:y val="-0.2470834766552148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 sz="1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578AD47A-58A9-4886-BB72-BE1E1184786E}" type="CATEGORYNAME">
                      <a:rPr lang="ru-RU" sz="1400" baseline="0">
                        <a:solidFill>
                          <a:schemeClr val="tx1"/>
                        </a:solidFill>
                      </a:rPr>
                      <a:pPr algn="l">
                        <a:defRPr sz="1400" b="0" i="0" u="none" strike="noStrike" kern="1200" baseline="0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400" baseline="0">
                        <a:solidFill>
                          <a:schemeClr val="tx1"/>
                        </a:solidFill>
                      </a:rPr>
                      <a:t>  </a:t>
                    </a:r>
                    <a:fld id="{D7023932-FA14-4A0C-BC33-9F2BEB6CEE41}" type="PERCENTAGE">
                      <a:rPr lang="ru-RU" sz="1400" baseline="0">
                        <a:solidFill>
                          <a:schemeClr val="tx1"/>
                        </a:solidFill>
                      </a:rPr>
                      <a:pPr algn="l">
                        <a:defRPr sz="1400" b="0" i="0" u="none" strike="noStrike" kern="1200" baseline="0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400" baseline="0">
                      <a:solidFill>
                        <a:schemeClr val="tx1"/>
                      </a:solidFill>
                    </a:endParaRP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732257190322373"/>
                      <c:h val="0.1728036507999313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505-4515-BE31-1F683B88FFD1}"/>
                </c:ext>
              </c:extLst>
            </c:dLbl>
            <c:dLbl>
              <c:idx val="2"/>
              <c:layout>
                <c:manualLayout>
                  <c:x val="-0.31924243095316202"/>
                  <c:y val="-0.5465875802464006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 sz="1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DD5B19C-F737-4021-A5BD-163EA7E65B80}" type="CATEGORYNAME">
                      <a:rPr lang="ru-RU" sz="1400" baseline="0">
                        <a:solidFill>
                          <a:schemeClr val="tx1"/>
                        </a:solidFill>
                      </a:rPr>
                      <a:pPr algn="l">
                        <a:defRPr sz="1400" b="0" i="0" u="none" strike="noStrike" kern="1200" baseline="0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400" baseline="0">
                        <a:solidFill>
                          <a:schemeClr val="tx1"/>
                        </a:solidFill>
                      </a:rPr>
                      <a:t>  </a:t>
                    </a:r>
                    <a:fld id="{B79CDD86-57DA-4046-A381-4B81B94BE94B}" type="PERCENTAGE">
                      <a:rPr lang="ru-RU" sz="1400" baseline="0">
                        <a:solidFill>
                          <a:schemeClr val="tx1"/>
                        </a:solidFill>
                      </a:rPr>
                      <a:pPr algn="l">
                        <a:defRPr sz="1400" b="0" i="0" u="none" strike="noStrike" kern="1200" baseline="0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400" baseline="0">
                      <a:solidFill>
                        <a:schemeClr val="tx1"/>
                      </a:solidFill>
                    </a:endParaRP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578370075020737"/>
                      <c:h val="0.1963365755751119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505-4515-BE31-1F683B88FFD1}"/>
                </c:ext>
              </c:extLst>
            </c:dLbl>
            <c:dLbl>
              <c:idx val="3"/>
              <c:layout>
                <c:manualLayout>
                  <c:x val="-0.27416581150256403"/>
                  <c:y val="-0.29966177051087617"/>
                </c:manualLayout>
              </c:layout>
              <c:tx>
                <c:rich>
                  <a:bodyPr/>
                  <a:lstStyle/>
                  <a:p>
                    <a:fld id="{360089B7-862F-459C-8DE5-9C5D2E76E065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  </a:t>
                    </a:r>
                    <a:fld id="{D803A6A8-5710-4B4B-B0A5-ABB7409B0651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15338678765831"/>
                      <c:h val="0.201567323873434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505-4515-BE31-1F683B88FFD1}"/>
                </c:ext>
              </c:extLst>
            </c:dLbl>
            <c:dLbl>
              <c:idx val="4"/>
              <c:layout>
                <c:manualLayout>
                  <c:x val="-0.24957734931060213"/>
                  <c:y val="-0.37052304202313063"/>
                </c:manualLayout>
              </c:layout>
              <c:tx>
                <c:rich>
                  <a:bodyPr/>
                  <a:lstStyle/>
                  <a:p>
                    <a:fld id="{8BE1626D-D342-491F-8A7E-F7B52AC7FB48}" type="CATEGORYNAME">
                      <a:rPr lang="ru-RU" sz="1400" baseline="0">
                        <a:solidFill>
                          <a:schemeClr val="tx1"/>
                        </a:solidFill>
                      </a:rPr>
                      <a:pPr/>
                      <a:t>[ИМЯ КАТЕГОРИИ]</a:t>
                    </a:fld>
                    <a:r>
                      <a:rPr lang="ru-RU" sz="1400" baseline="0">
                        <a:solidFill>
                          <a:schemeClr val="tx1"/>
                        </a:solidFill>
                      </a:rPr>
                      <a:t>  </a:t>
                    </a:r>
                    <a:fld id="{E4E42AF6-703D-4BFF-A76A-5F5B70F481CC}" type="PERCENTAGE">
                      <a:rPr lang="ru-RU" sz="1400" baseline="0">
                        <a:solidFill>
                          <a:schemeClr val="tx1"/>
                        </a:solidFill>
                      </a:rPr>
                      <a:pPr/>
                      <a:t>[ПРОЦЕНТ]</a:t>
                    </a:fld>
                    <a:endParaRPr lang="ru-RU" sz="1400" baseline="0">
                      <a:solidFill>
                        <a:schemeClr val="tx1"/>
                      </a:solidFill>
                    </a:endParaRPr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201270472328339"/>
                      <c:h val="0.138242785614858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A505-4515-BE31-1F683B88FFD1}"/>
                </c:ext>
              </c:extLst>
            </c:dLbl>
            <c:dLbl>
              <c:idx val="5"/>
              <c:layout>
                <c:manualLayout>
                  <c:x val="0.4102472556551558"/>
                  <c:y val="-1.8140948461844719E-3"/>
                </c:manualLayout>
              </c:layout>
              <c:tx>
                <c:rich>
                  <a:bodyPr/>
                  <a:lstStyle/>
                  <a:p>
                    <a:fld id="{4A15B5C1-72BE-4688-B8A2-39F979948257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  </a:t>
                    </a:r>
                    <a:fld id="{30854357-FE21-4841-ACAD-D978974263E1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A505-4515-BE31-1F683B88FFD1}"/>
                </c:ext>
              </c:extLst>
            </c:dLbl>
            <c:dLbl>
              <c:idx val="6"/>
              <c:layout>
                <c:manualLayout>
                  <c:x val="0.35385154150992831"/>
                  <c:y val="0.25108613935820834"/>
                </c:manualLayout>
              </c:layout>
              <c:tx>
                <c:rich>
                  <a:bodyPr/>
                  <a:lstStyle/>
                  <a:p>
                    <a:fld id="{01896AB9-3E8A-4A99-9653-BF69E25F0C65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  </a:t>
                    </a:r>
                    <a:fld id="{CA33B762-4035-48F1-A3D2-613379DAB433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251642703304469"/>
                      <c:h val="0.1702428687179273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A505-4515-BE31-1F683B88FFD1}"/>
                </c:ext>
              </c:extLst>
            </c:dLbl>
            <c:dLbl>
              <c:idx val="7"/>
              <c:layout>
                <c:manualLayout>
                  <c:x val="0.28491580606004174"/>
                  <c:y val="0.40384487114990014"/>
                </c:manualLayout>
              </c:layout>
              <c:tx>
                <c:rich>
                  <a:bodyPr/>
                  <a:lstStyle/>
                  <a:p>
                    <a:fld id="{630EC437-41DE-499B-BD02-42D5F512125E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  </a:t>
                    </a:r>
                    <a:fld id="{C03520AA-0070-4BBD-A77A-D43FED281602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60795298862026"/>
                      <c:h val="0.1217131778125724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A505-4515-BE31-1F683B88FFD1}"/>
                </c:ext>
              </c:extLst>
            </c:dLbl>
            <c:dLbl>
              <c:idx val="8"/>
              <c:layout>
                <c:manualLayout>
                  <c:x val="0.21704432765334197"/>
                  <c:y val="-0.13848827941733413"/>
                </c:manualLayout>
              </c:layout>
              <c:tx>
                <c:rich>
                  <a:bodyPr/>
                  <a:lstStyle/>
                  <a:p>
                    <a:fld id="{EA1005A3-06C3-4A65-BCAD-1CC6D46F5DDC}" type="SERIESNAME">
                      <a:rPr lang="ru-RU"/>
                      <a:pPr/>
                      <a:t>[ИМЯ РЯДА]</a:t>
                    </a:fld>
                    <a:r>
                      <a:rPr lang="ru-RU"/>
                      <a:t> </a:t>
                    </a:r>
                    <a:fld id="{58BCDBB6-EBEE-40D9-B85B-C41DA89186C1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showLegendKey val="1"/>
              <c:showVal val="0"/>
              <c:showCatName val="0"/>
              <c:showSerName val="1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12852834953454"/>
                      <c:h val="0.1302843425978787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A505-4515-BE31-1F683B88FFD1}"/>
                </c:ext>
              </c:extLst>
            </c:dLbl>
            <c:dLbl>
              <c:idx val="9"/>
              <c:layout>
                <c:manualLayout>
                  <c:x val="0.19339345380950271"/>
                  <c:y val="0.4091107958238888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l">
                      <a:defRPr sz="1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9AFCB13D-294F-4457-9BD8-C4C53AF660F2}" type="CATEGORYNAME">
                      <a:rPr lang="ru-RU" sz="1400" baseline="0">
                        <a:solidFill>
                          <a:schemeClr val="tx1"/>
                        </a:solidFill>
                      </a:rPr>
                      <a:pPr algn="l">
                        <a:defRPr sz="1400" b="0" i="0" u="none" strike="noStrike" kern="1200" baseline="0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400" baseline="0">
                        <a:solidFill>
                          <a:schemeClr val="tx1"/>
                        </a:solidFill>
                      </a:rPr>
                      <a:t>  </a:t>
                    </a:r>
                    <a:fld id="{0BA4A56A-6D65-4CDA-914C-1B6C7ED1B8A4}" type="PERCENTAGE">
                      <a:rPr lang="ru-RU" sz="1400" baseline="0">
                        <a:solidFill>
                          <a:schemeClr val="tx1"/>
                        </a:solidFill>
                      </a:rPr>
                      <a:pPr algn="l">
                        <a:defRPr sz="1400" b="0" i="0" u="none" strike="noStrike" kern="1200" baseline="0">
                          <a:solidFill>
                            <a:schemeClr val="tx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400" baseline="0">
                      <a:solidFill>
                        <a:schemeClr val="tx1"/>
                      </a:solidFill>
                    </a:endParaRP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82705091122832"/>
                      <c:h val="0.2802041704585921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A505-4515-BE31-1F683B88FFD1}"/>
                </c:ext>
              </c:extLst>
            </c:dLbl>
            <c:dLbl>
              <c:idx val="10"/>
              <c:layout>
                <c:manualLayout>
                  <c:x val="0.13824021115484314"/>
                  <c:y val="0.45774824629333394"/>
                </c:manualLayout>
              </c:layout>
              <c:tx>
                <c:rich>
                  <a:bodyPr/>
                  <a:lstStyle/>
                  <a:p>
                    <a:fld id="{AE0402F4-331B-460F-9368-31235B7DE68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 </a:t>
                    </a:r>
                    <a:fld id="{99454D1C-AC6D-4CD8-BD73-FAC594675ABC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560503955024498"/>
                      <c:h val="0.1131280700465205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A505-4515-BE31-1F683B88FFD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noAutofit/>
              </a:bodyPr>
              <a:lstStyle/>
              <a:p>
                <a:pPr algn="l">
                  <a:defRPr sz="14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Лист1!$A$2:$A$12</c:f>
              <c:strCache>
                <c:ptCount val="11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электро энергией, паром</c:v>
                </c:pt>
                <c:pt idx="3">
                  <c:v>Водоснабжение, водоотведение</c:v>
                </c:pt>
                <c:pt idx="4">
                  <c:v>Строительство</c:v>
                </c:pt>
                <c:pt idx="5">
                  <c:v>Торговля</c:v>
                </c:pt>
                <c:pt idx="6">
                  <c:v>Транспортировка и хранение</c:v>
                </c:pt>
                <c:pt idx="7">
                  <c:v>Образование</c:v>
                </c:pt>
                <c:pt idx="8">
                  <c:v>Здравоохранение, соц услуги</c:v>
                </c:pt>
                <c:pt idx="9">
                  <c:v>Культура, спорт, организация досуга и развлечений</c:v>
                </c:pt>
                <c:pt idx="10">
                  <c:v>Прочие</c:v>
                </c:pt>
              </c:strCache>
            </c:strRef>
          </c:cat>
          <c:val>
            <c:numRef>
              <c:f>Лист1!$B$2:$B$12</c:f>
              <c:numCache>
                <c:formatCode>#,##0.00</c:formatCode>
                <c:ptCount val="11"/>
                <c:pt idx="0">
                  <c:v>868.4</c:v>
                </c:pt>
                <c:pt idx="1">
                  <c:v>625.70000000000005</c:v>
                </c:pt>
                <c:pt idx="2">
                  <c:v>503.6</c:v>
                </c:pt>
                <c:pt idx="3">
                  <c:v>48.5</c:v>
                </c:pt>
                <c:pt idx="4">
                  <c:v>1216.8</c:v>
                </c:pt>
                <c:pt idx="5">
                  <c:v>264.2</c:v>
                </c:pt>
                <c:pt idx="6">
                  <c:v>528.1</c:v>
                </c:pt>
                <c:pt idx="7">
                  <c:v>423.3</c:v>
                </c:pt>
                <c:pt idx="8">
                  <c:v>364.9</c:v>
                </c:pt>
                <c:pt idx="9">
                  <c:v>296.2</c:v>
                </c:pt>
                <c:pt idx="10">
                  <c:v>393.4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A505-4515-BE31-1F683B88FF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98"/>
        <c:holeSize val="55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317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baseline="0">
                <a:solidFill>
                  <a:schemeClr val="tx1"/>
                </a:solidFill>
              </a:rPr>
              <a:t>Динамика демографических показателией 2023-2024гг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475841606755677E-2"/>
          <c:y val="0.19121772569126533"/>
          <c:w val="0.92398554528510024"/>
          <c:h val="0.637997068548249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Коэффициент естественной убыли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2023г.</c:v>
                </c:pt>
                <c:pt idx="1">
                  <c:v>2024г.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-9.5</c:v>
                </c:pt>
                <c:pt idx="1">
                  <c:v>-10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8A-4A9E-886D-AC0AAE9F45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Коэффициент смертности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2023г.</c:v>
                </c:pt>
                <c:pt idx="1">
                  <c:v>2024г.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16.3</c:v>
                </c:pt>
                <c:pt idx="1">
                  <c:v>16.7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8A-4A9E-886D-AC0AAE9F45A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Коэффициент рождаемости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2023г.</c:v>
                </c:pt>
                <c:pt idx="1">
                  <c:v>2024г.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6.7</c:v>
                </c:pt>
                <c:pt idx="1">
                  <c:v>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8A-4A9E-886D-AC0AAE9F45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8636416"/>
        <c:axId val="128637952"/>
      </c:barChart>
      <c:catAx>
        <c:axId val="128636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8637952"/>
        <c:crosses val="autoZero"/>
        <c:auto val="1"/>
        <c:lblAlgn val="ctr"/>
        <c:lblOffset val="100"/>
        <c:noMultiLvlLbl val="0"/>
      </c:catAx>
      <c:valAx>
        <c:axId val="12863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8636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9903381642512077E-2"/>
          <c:y val="0.83010228599955516"/>
          <c:w val="0.90122302103541407"/>
          <c:h val="0.169897739628603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218972842864189E-2"/>
          <c:y val="0.1744028958071126"/>
          <c:w val="0.42235664659564615"/>
          <c:h val="0.6406004156543628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D4A-4DC5-A910-14A5517993E4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D4A-4DC5-A910-14A5517993E4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D4A-4DC5-A910-14A5517993E4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D4A-4DC5-A910-14A5517993E4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D4A-4DC5-A910-14A5517993E4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D4A-4DC5-A910-14A5517993E4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8D4A-4DC5-A910-14A5517993E4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8D4A-4DC5-A910-14A5517993E4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8D4A-4DC5-A910-14A5517993E4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8D4A-4DC5-A910-14A5517993E4}"/>
              </c:ext>
            </c:extLst>
          </c:dPt>
          <c:dLbls>
            <c:dLbl>
              <c:idx val="0"/>
              <c:layout>
                <c:manualLayout>
                  <c:x val="0.30163095915677718"/>
                  <c:y val="-0.22529197980978335"/>
                </c:manualLayout>
              </c:layout>
              <c:tx>
                <c:rich>
                  <a:bodyPr vertOverflow="overflow" horzOverflow="overflow" wrap="square" lIns="108000" tIns="0" rIns="324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FD851FA9-27B6-4FFD-8C42-B13110A16A3D}" type="CATEGORYNAM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300" baseline="0"/>
                      <a:t> 9,1%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827316473341866"/>
                      <c:h val="5.488566541022715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D4A-4DC5-A910-14A5517993E4}"/>
                </c:ext>
              </c:extLst>
            </c:dLbl>
            <c:dLbl>
              <c:idx val="1"/>
              <c:layout>
                <c:manualLayout>
                  <c:x val="0.32102646789367795"/>
                  <c:y val="-0.16333847299358145"/>
                </c:manualLayout>
              </c:layout>
              <c:tx>
                <c:rich>
                  <a:bodyPr vertOverflow="overflow" horzOverflow="overflow" wrap="square" lIns="108000" tIns="0" rIns="39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93FF4DCF-DE39-481F-B80D-0FF8B056E9C1}" type="CATEGORYNAM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300" baseline="0"/>
                      <a:t> 5,2%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6544001047027994"/>
                      <c:h val="6.93153845991592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D4A-4DC5-A910-14A5517993E4}"/>
                </c:ext>
              </c:extLst>
            </c:dLbl>
            <c:dLbl>
              <c:idx val="2"/>
              <c:layout>
                <c:manualLayout>
                  <c:x val="0.3558603130735446"/>
                  <c:y val="-0.34096555302673964"/>
                </c:manualLayout>
              </c:layout>
              <c:tx>
                <c:rich>
                  <a:bodyPr vertOverflow="overflow" horzOverflow="overflow" wrap="square" lIns="108000" tIns="0" rIns="21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E301274A-698B-4B0E-8E60-588F6E3EFA64}" type="CATEGORYNAM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300" baseline="0"/>
                      <a:t> </a:t>
                    </a:r>
                    <a:fld id="{05CA4259-1CEA-4C0A-B2E7-A846289ADFB0}" type="PERCENTAG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300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5476762979038127"/>
                      <c:h val="5.586606790679426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8D4A-4DC5-A910-14A5517993E4}"/>
                </c:ext>
              </c:extLst>
            </c:dLbl>
            <c:dLbl>
              <c:idx val="3"/>
              <c:layout>
                <c:manualLayout>
                  <c:x val="0.37869594794079414"/>
                  <c:y val="-0.35345429463963668"/>
                </c:manualLayout>
              </c:layout>
              <c:tx>
                <c:rich>
                  <a:bodyPr vertOverflow="overflow" horzOverflow="overflow" wrap="square" lIns="108000" tIns="0" rIns="57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BE255D68-1231-4BCB-88A2-F75FC47BE864}" type="CATEGORYNAME">
                      <a:rPr lang="ru-RU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 </a:t>
                    </a:r>
                    <a:fld id="{FA5820F5-1C4F-46E5-9C5D-D47C78A03700}" type="PERCENTAGE">
                      <a:rPr lang="ru-RU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8141562451752348"/>
                      <c:h val="3.466768140971226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8D4A-4DC5-A910-14A5517993E4}"/>
                </c:ext>
              </c:extLst>
            </c:dLbl>
            <c:dLbl>
              <c:idx val="4"/>
              <c:layout>
                <c:manualLayout>
                  <c:x val="0.41352804300119622"/>
                  <c:y val="-0.19803307803776077"/>
                </c:manualLayout>
              </c:layout>
              <c:tx>
                <c:rich>
                  <a:bodyPr vertOverflow="overflow" horzOverflow="overflow" wrap="square" lIns="108000" tIns="0" rIns="57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30F31C73-EA35-4A99-9F17-6EBDEF868159}" type="CATEGORYNAME">
                      <a:rPr lang="ru-RU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 </a:t>
                    </a:r>
                    <a:fld id="{C870F5D5-E922-407B-B980-2ABEA6EFBC4C}" type="PERCENTAGE">
                      <a:rPr lang="ru-RU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510189902732742"/>
                      <c:h val="4.196352779322658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8D4A-4DC5-A910-14A5517993E4}"/>
                </c:ext>
              </c:extLst>
            </c:dLbl>
            <c:dLbl>
              <c:idx val="5"/>
              <c:layout>
                <c:manualLayout>
                  <c:x val="0.47451308632806666"/>
                  <c:y val="-0.49975068077647539"/>
                </c:manualLayout>
              </c:layout>
              <c:tx>
                <c:rich>
                  <a:bodyPr vertOverflow="overflow" horzOverflow="overflow" wrap="square" lIns="108000" tIns="0" rIns="57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948660A5-E6B6-4719-8DDD-7A0C55E09014}" type="CATEGORYNAME">
                      <a:rPr lang="ru-RU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 </a:t>
                    </a:r>
                    <a:fld id="{0CF2B02A-78E3-4429-A886-F5B5EE8E8EE1}" type="PERCENTAGE">
                      <a:rPr lang="ru-RU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666674172162567"/>
                      <c:h val="3.317051352728861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8D4A-4DC5-A910-14A5517993E4}"/>
                </c:ext>
              </c:extLst>
            </c:dLbl>
            <c:dLbl>
              <c:idx val="6"/>
              <c:layout>
                <c:manualLayout>
                  <c:x val="0.48072159708293133"/>
                  <c:y val="0.17021816486708247"/>
                </c:manualLayout>
              </c:layout>
              <c:tx>
                <c:rich>
                  <a:bodyPr vertOverflow="overflow" horzOverflow="overflow" wrap="square" lIns="108000" tIns="0" rIns="252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9F5B8424-ADD4-4807-8D61-69102AE545BD}" type="CATEGORYNAM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300" baseline="0"/>
                      <a:t>  </a:t>
                    </a:r>
                    <a:fld id="{1676C56A-3477-4C5C-B505-9EA393196800}" type="PERCENTAG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300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5022218907986322"/>
                      <c:h val="5.727718940034719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8D4A-4DC5-A910-14A5517993E4}"/>
                </c:ext>
              </c:extLst>
            </c:dLbl>
            <c:dLbl>
              <c:idx val="7"/>
              <c:layout>
                <c:manualLayout>
                  <c:x val="0.48092727416610603"/>
                  <c:y val="0.25152882041633345"/>
                </c:manualLayout>
              </c:layout>
              <c:tx>
                <c:rich>
                  <a:bodyPr vertOverflow="overflow" horzOverflow="overflow" wrap="square" lIns="108000" tIns="0" rIns="288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99E41FB4-7EC6-4B22-A822-EDD045F70500}" type="CATEGORYNAM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300" baseline="0"/>
                      <a:t>  0,6%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5602391119741653"/>
                      <c:h val="5.8423171922689934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8D4A-4DC5-A910-14A5517993E4}"/>
                </c:ext>
              </c:extLst>
            </c:dLbl>
            <c:dLbl>
              <c:idx val="8"/>
              <c:layout>
                <c:manualLayout>
                  <c:x val="0.48090277249360064"/>
                  <c:y val="0.13082889149973306"/>
                </c:manualLayout>
              </c:layout>
              <c:tx>
                <c:rich>
                  <a:bodyPr vertOverflow="overflow" horzOverflow="overflow" wrap="square" lIns="108000" tIns="0" rIns="57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A19F6EAB-6DBD-4488-B799-D90BFEE1C563}" type="CATEGORYNAME">
                      <a:rPr lang="ru-RU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 </a:t>
                    </a:r>
                    <a:r>
                      <a:rPr lang="ru-RU" baseline="0"/>
                      <a:t>0,7%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837601088422123"/>
                      <c:h val="4.869803476547752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8D4A-4DC5-A910-14A5517993E4}"/>
                </c:ext>
              </c:extLst>
            </c:dLbl>
            <c:dLbl>
              <c:idx val="9"/>
              <c:layout>
                <c:manualLayout>
                  <c:x val="0.47904939598050816"/>
                  <c:y val="9.1252945109694131E-2"/>
                </c:manualLayout>
              </c:layout>
              <c:tx>
                <c:rich>
                  <a:bodyPr vertOverflow="overflow" horzOverflow="overflow" wrap="square" lIns="108000" tIns="0" rIns="57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14A720AB-5537-4794-83D7-3BA1409D9E55}" type="CATEGORYNAME">
                      <a:rPr lang="ru-RU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 </a:t>
                    </a:r>
                    <a:fld id="{32E89D9A-F9E4-4EBB-8FD4-03D46F82BDEF}" type="PERCENTAGE">
                      <a:rPr lang="ru-RU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577829241932995"/>
                      <c:h val="4.224148933056230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8D4A-4DC5-A910-14A5517993E4}"/>
                </c:ext>
              </c:extLst>
            </c:dLbl>
            <c:dLbl>
              <c:idx val="10"/>
              <c:layout>
                <c:manualLayout>
                  <c:x val="0.47431022465446548"/>
                  <c:y val="3.296708859691494E-2"/>
                </c:manualLayout>
              </c:layout>
              <c:tx>
                <c:rich>
                  <a:bodyPr vertOverflow="overflow" horzOverflow="overflow" wrap="square" lIns="108000" tIns="0" rIns="288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FC428F6A-D48D-409F-877C-387468460E81}" type="CATEGORYNAM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300" baseline="0"/>
                      <a:t> </a:t>
                    </a:r>
                    <a:fld id="{8A48560B-EBEC-4E2B-BD94-2783BC8E3CA5}" type="PERCENTAG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300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89025990034971"/>
                      <c:h val="7.612821167244263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4-8D4A-4DC5-A910-14A5517993E4}"/>
                </c:ext>
              </c:extLst>
            </c:dLbl>
            <c:dLbl>
              <c:idx val="11"/>
              <c:layout>
                <c:manualLayout>
                  <c:x val="0.47544445425187715"/>
                  <c:y val="-3.8220510408339327E-2"/>
                </c:manualLayout>
              </c:layout>
              <c:tx>
                <c:rich>
                  <a:bodyPr vertOverflow="overflow" horzOverflow="overflow" wrap="square" lIns="108000" tIns="0" rIns="72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9377448E-1925-4DA0-A553-133988D6E954}" type="CATEGORYNAM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300" baseline="0"/>
                      <a:t>  </a:t>
                    </a:r>
                    <a:fld id="{E8587F35-B9FC-41BE-B532-C6B5C21CC164}" type="PERCENTAG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300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3321741962386123"/>
                      <c:h val="7.075772372814502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8D4A-4DC5-A910-14A5517993E4}"/>
                </c:ext>
              </c:extLst>
            </c:dLbl>
            <c:dLbl>
              <c:idx val="12"/>
              <c:layout>
                <c:manualLayout>
                  <c:x val="0.47543227950777511"/>
                  <c:y val="-0.38520146976002495"/>
                </c:manualLayout>
              </c:layout>
              <c:tx>
                <c:rich>
                  <a:bodyPr vertOverflow="overflow" horzOverflow="overflow" wrap="square" lIns="108000" tIns="0" rIns="57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AA312181-DA9C-4C5B-9038-2E7422FD3581}" type="CATEGORYNAME">
                      <a:rPr lang="ru-RU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 </a:t>
                    </a:r>
                    <a:fld id="{4CCE44EA-B160-431F-9394-1C2956F0DD85}" type="PERCENTAGE">
                      <a:rPr lang="ru-RU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182738922340583"/>
                      <c:h val="3.839890249653457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6-8D4A-4DC5-A910-14A5517993E4}"/>
                </c:ext>
              </c:extLst>
            </c:dLbl>
            <c:dLbl>
              <c:idx val="13"/>
              <c:layout>
                <c:manualLayout>
                  <c:x val="0.47431935571254213"/>
                  <c:y val="-0.2573542843040682"/>
                </c:manualLayout>
              </c:layout>
              <c:tx>
                <c:rich>
                  <a:bodyPr vertOverflow="overflow" horzOverflow="overflow" wrap="square" lIns="108000" tIns="0" rIns="57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9441AC2D-3510-4D9B-8D26-B9FEC058B242}" type="CATEGORYNAME">
                      <a:rPr lang="ru-RU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 </a:t>
                    </a:r>
                    <a:fld id="{93062B18-690C-4D4F-AFC0-8208CBE55566}" type="PERCENTAGE">
                      <a:rPr lang="ru-RU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849799265512164"/>
                      <c:h val="3.810337116050718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8D4A-4DC5-A910-14A5517993E4}"/>
                </c:ext>
              </c:extLst>
            </c:dLbl>
            <c:dLbl>
              <c:idx val="14"/>
              <c:layout>
                <c:manualLayout>
                  <c:x val="0.37773825213286305"/>
                  <c:y val="-0.24240588832101853"/>
                </c:manualLayout>
              </c:layout>
              <c:tx>
                <c:rich>
                  <a:bodyPr vertOverflow="overflow" horzOverflow="overflow" wrap="square" lIns="108000" tIns="0" rIns="57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A025F476-3AC8-45DC-84FA-43AAB7504E2B}" type="CATEGORYNAM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300" baseline="0"/>
                      <a:t>  </a:t>
                    </a:r>
                    <a:fld id="{10BCF74F-C910-4EFE-964C-4BFE25116D0A}" type="PERCENTAGE">
                      <a:rPr lang="ru-RU" sz="1300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300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406265738086714"/>
                      <c:h val="3.90434683115072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8-8D4A-4DC5-A910-14A5517993E4}"/>
                </c:ext>
              </c:extLst>
            </c:dLbl>
            <c:dLbl>
              <c:idx val="15"/>
              <c:layout>
                <c:manualLayout>
                  <c:x val="0.30673704683319686"/>
                  <c:y val="0.10344849406548531"/>
                </c:manualLayout>
              </c:layout>
              <c:tx>
                <c:rich>
                  <a:bodyPr vertOverflow="overflow" horzOverflow="overflow" wrap="square" lIns="108000" tIns="0" rIns="57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762D9296-8443-4779-97EB-3224CFD814E1}" type="CATEGORYNAME">
                      <a:rPr lang="ru-RU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 </a:t>
                    </a:r>
                    <a:fld id="{1AD0461F-1EF2-4C02-8809-9B1D42C289BC}" type="PERCENTAGE">
                      <a:rPr lang="ru-RU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0147694864388561"/>
                      <c:h val="4.85965774503207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8D4A-4DC5-A910-14A5517993E4}"/>
                </c:ext>
              </c:extLst>
            </c:dLbl>
            <c:dLbl>
              <c:idx val="16"/>
              <c:layout>
                <c:manualLayout>
                  <c:x val="0.29759739034360172"/>
                  <c:y val="0.55625270254022963"/>
                </c:manualLayout>
              </c:layout>
              <c:tx>
                <c:rich>
                  <a:bodyPr vertOverflow="overflow" horzOverflow="overflow" wrap="square" lIns="108000" tIns="0" rIns="576000" bIns="0" anchor="t" anchorCtr="0">
                    <a:noAutofit/>
                  </a:bodyPr>
                  <a:lstStyle/>
                  <a:p>
                    <a:pPr algn="l">
                      <a:defRPr sz="13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725CD57D-6E1C-4B65-9ADD-59D960A2E89A}" type="CATEGORYNAME">
                      <a:rPr lang="ru-RU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 </a:t>
                    </a:r>
                    <a:fld id="{ACDAC86D-4116-4687-9BF3-70F7BED95B6E}" type="PERCENTAGE">
                      <a:rPr lang="ru-RU" baseline="0"/>
                      <a:pPr algn="l">
                        <a:defRPr sz="1300" baseline="0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8052801865170799"/>
                      <c:h val="4.358952184285295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A-8D4A-4DC5-A910-14A5517993E4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D4A-4DC5-A910-14A5517993E4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vertOverflow="overflow" horzOverflow="overflow" wrap="square" lIns="108000" tIns="0" rIns="576000" bIns="0" anchor="t" anchorCtr="0">
                <a:noAutofit/>
              </a:bodyPr>
              <a:lstStyle/>
              <a:p>
                <a:pPr algn="ctr">
                  <a:defRPr sz="130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Лист1!$A$2:$A$19</c:f>
              <c:strCache>
                <c:ptCount val="17"/>
                <c:pt idx="0">
                  <c:v>добыча полезных ископаемых</c:v>
                </c:pt>
                <c:pt idx="1">
                  <c:v>обрабатывающие производства</c:v>
                </c:pt>
                <c:pt idx="2">
                  <c:v>обеспечение эл энергией, паром</c:v>
                </c:pt>
                <c:pt idx="3">
                  <c:v>торговля</c:v>
                </c:pt>
                <c:pt idx="4">
                  <c:v>строительство</c:v>
                </c:pt>
                <c:pt idx="5">
                  <c:v>транспортировка</c:v>
                </c:pt>
                <c:pt idx="6">
                  <c:v>гостиниц и предприятий общепита</c:v>
                </c:pt>
                <c:pt idx="7">
                  <c:v>в области информации и связи</c:v>
                </c:pt>
                <c:pt idx="8">
                  <c:v>финансовая и страховая</c:v>
                </c:pt>
                <c:pt idx="9">
                  <c:v>недвижимость</c:v>
                </c:pt>
                <c:pt idx="10">
                  <c:v>профессиональная, научная и техническая</c:v>
                </c:pt>
                <c:pt idx="11">
                  <c:v>административная и сопутствующие доп. услуги</c:v>
                </c:pt>
                <c:pt idx="12">
                  <c:v>гос. управление</c:v>
                </c:pt>
                <c:pt idx="13">
                  <c:v>образование</c:v>
                </c:pt>
                <c:pt idx="14">
                  <c:v>здравоохранение</c:v>
                </c:pt>
                <c:pt idx="15">
                  <c:v>культура, спорт</c:v>
                </c:pt>
                <c:pt idx="16">
                  <c:v>прочие</c:v>
                </c:pt>
              </c:strCache>
            </c:strRef>
          </c:cat>
          <c:val>
            <c:numRef>
              <c:f>Лист1!$B$2:$B$19</c:f>
              <c:numCache>
                <c:formatCode>General</c:formatCode>
                <c:ptCount val="18"/>
                <c:pt idx="0">
                  <c:v>2316</c:v>
                </c:pt>
                <c:pt idx="1">
                  <c:v>1312</c:v>
                </c:pt>
                <c:pt idx="2">
                  <c:v>2206</c:v>
                </c:pt>
                <c:pt idx="3">
                  <c:v>1638</c:v>
                </c:pt>
                <c:pt idx="4">
                  <c:v>630</c:v>
                </c:pt>
                <c:pt idx="5">
                  <c:v>2588</c:v>
                </c:pt>
                <c:pt idx="6">
                  <c:v>64</c:v>
                </c:pt>
                <c:pt idx="7">
                  <c:v>155</c:v>
                </c:pt>
                <c:pt idx="8">
                  <c:v>176</c:v>
                </c:pt>
                <c:pt idx="9">
                  <c:v>203</c:v>
                </c:pt>
                <c:pt idx="10">
                  <c:v>356</c:v>
                </c:pt>
                <c:pt idx="11">
                  <c:v>457</c:v>
                </c:pt>
                <c:pt idx="12">
                  <c:v>2511</c:v>
                </c:pt>
                <c:pt idx="13">
                  <c:v>4680</c:v>
                </c:pt>
                <c:pt idx="14">
                  <c:v>4824</c:v>
                </c:pt>
                <c:pt idx="15">
                  <c:v>724</c:v>
                </c:pt>
                <c:pt idx="16">
                  <c:v>42</c:v>
                </c:pt>
                <c:pt idx="17">
                  <c:v>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D4A-4DC5-A910-14A5517993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70"/>
        <c:holeSize val="45"/>
      </c:doughnutChart>
      <c:spPr>
        <a:noFill/>
        <a:ln>
          <a:noFill/>
        </a:ln>
        <a:effectLst/>
        <a:scene3d>
          <a:camera prst="orthographicFront"/>
          <a:lightRig rig="threePt" dir="t"/>
        </a:scene3d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>
      <a:solidFill>
        <a:schemeClr val="accent1">
          <a:lumMod val="40000"/>
          <a:lumOff val="60000"/>
        </a:schemeClr>
      </a:solidFill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доходов местного бюджета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4003939679101613"/>
          <c:y val="0.1407202640442477"/>
          <c:w val="0.28996740339123789"/>
          <c:h val="0.85596386288623794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AA0-47F7-99C1-35529A714F1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AA0-47F7-99C1-35529A714F1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AA0-47F7-99C1-35529A714F1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AA0-47F7-99C1-35529A714F1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AA0-47F7-99C1-35529A714F1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AA0-47F7-99C1-35529A714F16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hade val="51000"/>
                      <a:satMod val="130000"/>
                    </a:schemeClr>
                  </a:gs>
                  <a:gs pos="80000">
                    <a:schemeClr val="accent1">
                      <a:lumMod val="60000"/>
                      <a:shade val="93000"/>
                      <a:satMod val="130000"/>
                    </a:schemeClr>
                  </a:gs>
                  <a:gs pos="100000">
                    <a:schemeClr val="accent1">
                      <a:lumMod val="60000"/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6AA0-47F7-99C1-35529A714F16}"/>
              </c:ext>
            </c:extLst>
          </c:dPt>
          <c:dLbls>
            <c:dLbl>
              <c:idx val="0"/>
              <c:layout>
                <c:manualLayout>
                  <c:x val="-0.27568892867745998"/>
                  <c:y val="9.2555063708617616E-4"/>
                </c:manualLayout>
              </c:layout>
              <c:tx>
                <c:rich>
                  <a:bodyPr rot="0" spcFirstLastPara="1" vertOverflow="ellipsis" vert="horz" wrap="square" lIns="38100" tIns="19050" rIns="38100" bIns="19050" anchor="t" anchorCtr="0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F9FD0B7-6A65-4BCE-96B3-CF482771A335}" type="CATEGORYNAME">
                      <a:rPr lang="ru-RU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 </a:t>
                    </a:r>
                    <a:fld id="{9E24FC2A-57C8-451A-AE3A-BDBB5AADD451}" type="PERCENTAGE">
                      <a:rPr lang="ru-RU" baseline="0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402538734708179"/>
                      <c:h val="0.1053432913160533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AA0-47F7-99C1-35529A714F16}"/>
                </c:ext>
              </c:extLst>
            </c:dLbl>
            <c:dLbl>
              <c:idx val="1"/>
              <c:layout>
                <c:manualLayout>
                  <c:x val="-0.30663311604804849"/>
                  <c:y val="2.943949537716022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t" anchorCtr="0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7DED1954-0BC7-4879-A2D5-2E9DA2B10226}" type="CATEGORYNAME">
                      <a:rPr lang="ru-RU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 </a:t>
                    </a:r>
                    <a:fld id="{6C9539FE-D49B-4EE8-8889-DAEC73BF854F}" type="PERCENTAGE">
                      <a:rPr lang="ru-RU" baseline="0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018021627785032"/>
                      <c:h val="0.1049219449978391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AA0-47F7-99C1-35529A714F16}"/>
                </c:ext>
              </c:extLst>
            </c:dLbl>
            <c:dLbl>
              <c:idx val="2"/>
              <c:layout>
                <c:manualLayout>
                  <c:x val="-0.27963891108551819"/>
                  <c:y val="-0.15209358464103356"/>
                </c:manualLayout>
              </c:layout>
              <c:tx>
                <c:rich>
                  <a:bodyPr rot="0" spcFirstLastPara="1" vertOverflow="ellipsis" vert="horz" wrap="square" lIns="38100" tIns="19050" rIns="38100" bIns="19050" anchor="t" anchorCtr="0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254B5F4E-CA66-4EA5-AC66-04E6C8F8819A}" type="CATEGORYNAME">
                      <a:rPr lang="ru-RU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 </a:t>
                    </a:r>
                    <a:fld id="{C0B64A91-087C-4089-83A6-43CBB1FB769B}" type="PERCENTAGE">
                      <a:rPr lang="ru-RU" baseline="0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768362909860149"/>
                      <c:h val="0.105622289914490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AA0-47F7-99C1-35529A714F16}"/>
                </c:ext>
              </c:extLst>
            </c:dLbl>
            <c:dLbl>
              <c:idx val="3"/>
              <c:layout>
                <c:manualLayout>
                  <c:x val="0.21418067144591987"/>
                  <c:y val="-5.072864979468807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t" anchorCtr="0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509BB71-2EAA-41F1-8648-5EA0F72A09DE}" type="CATEGORYNAME">
                      <a:rPr lang="ru-RU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 </a:t>
                    </a:r>
                    <a:fld id="{42A60FDE-5E08-4686-895E-605269D1A35F}" type="PERCENTAGE">
                      <a:rPr lang="ru-RU" baseline="0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335527088964626"/>
                      <c:h val="7.383512544802867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AA0-47F7-99C1-35529A714F16}"/>
                </c:ext>
              </c:extLst>
            </c:dLbl>
            <c:dLbl>
              <c:idx val="4"/>
              <c:layout>
                <c:manualLayout>
                  <c:x val="0.16341158503776734"/>
                  <c:y val="0.11626947923022528"/>
                </c:manualLayout>
              </c:layout>
              <c:tx>
                <c:rich>
                  <a:bodyPr rot="0" spcFirstLastPara="1" vertOverflow="ellipsis" vert="horz" wrap="square" lIns="38100" tIns="19050" rIns="38100" bIns="19050" anchor="t" anchorCtr="0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40BC3454-2974-4A73-81A4-9E428FFCBB8D}" type="CATEGORYNAME">
                      <a:rPr lang="ru-RU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 </a:t>
                    </a:r>
                    <a:fld id="{386607A8-D4B8-4757-B87E-438E7DA17A5F}" type="PERCENTAGE">
                      <a:rPr lang="ru-RU" baseline="0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29556939710891"/>
                      <c:h val="7.383512544802867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6AA0-47F7-99C1-35529A714F16}"/>
                </c:ext>
              </c:extLst>
            </c:dLbl>
            <c:dLbl>
              <c:idx val="5"/>
              <c:layout>
                <c:manualLayout>
                  <c:x val="-0.27666331618405215"/>
                  <c:y val="9.448508973278700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t" anchorCtr="0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2E85C4D0-076B-4987-AB2F-4B66700A6B26}" type="CATEGORYNAME">
                      <a:rPr lang="ru-RU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  </a:t>
                    </a:r>
                    <a:fld id="{6616F279-1262-4C53-B990-98187DA19E37}" type="PERCENTAGE">
                      <a:rPr lang="ru-RU" baseline="0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/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06071700327948"/>
                      <c:h val="0.1171971215775149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6AA0-47F7-99C1-35529A714F16}"/>
                </c:ext>
              </c:extLst>
            </c:dLbl>
            <c:dLbl>
              <c:idx val="6"/>
              <c:layout>
                <c:manualLayout>
                  <c:x val="-0.28016125056191182"/>
                  <c:y val="-2.2353294399094742E-4"/>
                </c:manualLayout>
              </c:layout>
              <c:tx>
                <c:rich>
                  <a:bodyPr rot="0" spcFirstLastPara="1" vertOverflow="ellipsis" vert="horz" wrap="square" lIns="38100" tIns="19050" rIns="38100" bIns="19050" anchor="t" anchorCtr="0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A3B1D4A-7440-40D8-881E-34E9AD81C059}" type="CATEGORYNAME">
                      <a:rPr lang="ru-RU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  </a:t>
                    </a:r>
                    <a:fld id="{390716B6-E38D-4EB9-8ADD-140B6756A7C0}" type="PERCENTAGE">
                      <a:rPr lang="ru-RU" baseline="0"/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1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778307952855117"/>
                      <c:h val="9.0372006082265546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6AA0-47F7-99C1-35529A714F16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1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Иные межбюджетные трансферты</c:v>
                </c:pt>
                <c:pt idx="3">
                  <c:v>Субсидии</c:v>
                </c:pt>
                <c:pt idx="4">
                  <c:v>Субвенции</c:v>
                </c:pt>
                <c:pt idx="5">
                  <c:v>Дотации</c:v>
                </c:pt>
                <c:pt idx="6">
                  <c:v>Прочие</c:v>
                </c:pt>
              </c:strCache>
            </c:strRef>
          </c:cat>
          <c:val>
            <c:numRef>
              <c:f>Лист1!$B$2:$B$8</c:f>
              <c:numCache>
                <c:formatCode>0.000</c:formatCode>
                <c:ptCount val="7"/>
                <c:pt idx="0">
                  <c:v>16.23</c:v>
                </c:pt>
                <c:pt idx="1">
                  <c:v>3.45</c:v>
                </c:pt>
                <c:pt idx="2">
                  <c:v>0.71</c:v>
                </c:pt>
                <c:pt idx="3">
                  <c:v>33.200000000000003</c:v>
                </c:pt>
                <c:pt idx="4">
                  <c:v>33.96</c:v>
                </c:pt>
                <c:pt idx="5">
                  <c:v>12.44</c:v>
                </c:pt>
                <c:pt idx="6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AA0-47F7-99C1-35529A714F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242"/>
        <c:holeSize val="29"/>
      </c:doughnutChart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EAC69-DD22-4033-97AD-C8654856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47</Pages>
  <Words>16733</Words>
  <Characters>95381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Мастяйкина Александровна</dc:creator>
  <cp:keywords/>
  <dc:description/>
  <cp:lastModifiedBy>Людмила Мастяйкина Александровна</cp:lastModifiedBy>
  <cp:revision>10</cp:revision>
  <cp:lastPrinted>2025-08-14T09:58:00Z</cp:lastPrinted>
  <dcterms:created xsi:type="dcterms:W3CDTF">2025-02-10T10:09:00Z</dcterms:created>
  <dcterms:modified xsi:type="dcterms:W3CDTF">2025-08-14T09:58:00Z</dcterms:modified>
</cp:coreProperties>
</file>